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D36A0" w14:textId="1EEB25F9" w:rsidR="007D42F8" w:rsidRPr="00D12877" w:rsidRDefault="00084F50" w:rsidP="00900311">
      <w:pPr>
        <w:jc w:val="center"/>
        <w:rPr>
          <w:b/>
          <w:sz w:val="36"/>
          <w:szCs w:val="36"/>
        </w:rPr>
      </w:pPr>
      <w:r>
        <w:rPr>
          <w:b/>
          <w:sz w:val="36"/>
          <w:szCs w:val="36"/>
        </w:rPr>
        <w:t>Appendix 4</w:t>
      </w:r>
      <w:r w:rsidR="00900311">
        <w:rPr>
          <w:b/>
          <w:sz w:val="36"/>
          <w:szCs w:val="36"/>
        </w:rPr>
        <w:t xml:space="preserve"> Personal Development Planning (</w:t>
      </w:r>
      <w:r w:rsidR="00900311" w:rsidRPr="00D12877">
        <w:rPr>
          <w:b/>
          <w:sz w:val="36"/>
          <w:szCs w:val="36"/>
        </w:rPr>
        <w:t>PDP</w:t>
      </w:r>
      <w:r w:rsidR="00900311">
        <w:rPr>
          <w:b/>
          <w:sz w:val="36"/>
          <w:szCs w:val="36"/>
        </w:rPr>
        <w:t>)</w:t>
      </w:r>
    </w:p>
    <w:p w14:paraId="10FE07DC" w14:textId="21759777" w:rsidR="006D02FB" w:rsidRDefault="006D02FB" w:rsidP="00D57CA0">
      <w:pPr>
        <w:rPr>
          <w:b/>
          <w:sz w:val="28"/>
          <w:szCs w:val="28"/>
        </w:rPr>
      </w:pPr>
      <w:r w:rsidRPr="006D02FB">
        <w:rPr>
          <w:b/>
          <w:sz w:val="28"/>
          <w:szCs w:val="28"/>
        </w:rPr>
        <w:t xml:space="preserve">What do you need to do for PDP? </w:t>
      </w:r>
    </w:p>
    <w:p w14:paraId="4F4B8D6C" w14:textId="69054605" w:rsidR="00E37B4C" w:rsidRDefault="006B3555" w:rsidP="00D57CA0">
      <w:r>
        <w:rPr>
          <w:noProof/>
        </w:rPr>
        <w:drawing>
          <wp:inline distT="0" distB="0" distL="0" distR="0" wp14:anchorId="0A5C2F85" wp14:editId="6BCAB728">
            <wp:extent cx="6645910" cy="26962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696210"/>
                    </a:xfrm>
                    <a:prstGeom prst="rect">
                      <a:avLst/>
                    </a:prstGeom>
                  </pic:spPr>
                </pic:pic>
              </a:graphicData>
            </a:graphic>
          </wp:inline>
        </w:drawing>
      </w:r>
    </w:p>
    <w:p w14:paraId="27759A6C" w14:textId="77777777" w:rsidR="00614148" w:rsidRPr="00614148" w:rsidRDefault="00614148" w:rsidP="00D57CA0">
      <w:pPr>
        <w:rPr>
          <w:b/>
          <w:sz w:val="28"/>
          <w:szCs w:val="28"/>
        </w:rPr>
      </w:pPr>
      <w:r w:rsidRPr="00614148">
        <w:rPr>
          <w:b/>
          <w:sz w:val="28"/>
          <w:szCs w:val="28"/>
        </w:rPr>
        <w:t>Step 1: The PDP Grid</w:t>
      </w:r>
    </w:p>
    <w:p w14:paraId="65B1F8E6" w14:textId="77777777" w:rsidR="00614148" w:rsidRDefault="00614148" w:rsidP="00614148">
      <w:r>
        <w:t>All courses will naturally do a lot to support PDP. The Mapping Grid is a simple way of:</w:t>
      </w:r>
    </w:p>
    <w:p w14:paraId="77A67D52" w14:textId="2B24F35A" w:rsidR="00614148" w:rsidRDefault="00614148" w:rsidP="00614148">
      <w:pPr>
        <w:pStyle w:val="ListParagraph"/>
        <w:numPr>
          <w:ilvl w:val="0"/>
          <w:numId w:val="19"/>
        </w:numPr>
      </w:pPr>
      <w:r>
        <w:t xml:space="preserve">Recognising </w:t>
      </w:r>
      <w:r w:rsidR="002753B3">
        <w:t xml:space="preserve">and validating </w:t>
      </w:r>
      <w:r>
        <w:t xml:space="preserve">the </w:t>
      </w:r>
      <w:r w:rsidR="002753B3">
        <w:t xml:space="preserve">activities contributing to </w:t>
      </w:r>
      <w:r>
        <w:t>PDP;</w:t>
      </w:r>
    </w:p>
    <w:p w14:paraId="4922B6F6" w14:textId="77777777" w:rsidR="00614148" w:rsidRDefault="00614148" w:rsidP="00614148">
      <w:pPr>
        <w:pStyle w:val="ListParagraph"/>
        <w:numPr>
          <w:ilvl w:val="0"/>
          <w:numId w:val="19"/>
        </w:numPr>
      </w:pPr>
      <w:r>
        <w:t xml:space="preserve">Identify additional steps which might be taken. </w:t>
      </w:r>
    </w:p>
    <w:p w14:paraId="53D1E517" w14:textId="77777777" w:rsidR="00614148" w:rsidRPr="0062367F" w:rsidRDefault="00614148" w:rsidP="00614148">
      <w:pPr>
        <w:rPr>
          <w:b/>
        </w:rPr>
      </w:pPr>
      <w:r w:rsidRPr="00D323FD">
        <w:rPr>
          <w:b/>
        </w:rPr>
        <w:t>Check those that you will build into your course</w:t>
      </w:r>
      <w:r w:rsidR="00F230DB" w:rsidRPr="00D323FD">
        <w:rPr>
          <w:b/>
        </w:rPr>
        <w:t xml:space="preserve"> offer.</w:t>
      </w:r>
    </w:p>
    <w:tbl>
      <w:tblPr>
        <w:tblStyle w:val="TableGrid"/>
        <w:tblW w:w="10631" w:type="dxa"/>
        <w:tblInd w:w="137" w:type="dxa"/>
        <w:tblLook w:val="04A0" w:firstRow="1" w:lastRow="0" w:firstColumn="1" w:lastColumn="0" w:noHBand="0" w:noVBand="1"/>
      </w:tblPr>
      <w:tblGrid>
        <w:gridCol w:w="1147"/>
        <w:gridCol w:w="3814"/>
        <w:gridCol w:w="1560"/>
        <w:gridCol w:w="4110"/>
      </w:tblGrid>
      <w:tr w:rsidR="00614148" w:rsidRPr="00C200B1" w14:paraId="62E6AB3C" w14:textId="77777777" w:rsidTr="0040294E">
        <w:trPr>
          <w:trHeight w:val="899"/>
        </w:trPr>
        <w:tc>
          <w:tcPr>
            <w:tcW w:w="1147" w:type="dxa"/>
            <w:shd w:val="clear" w:color="auto" w:fill="D9D9D9" w:themeFill="background1" w:themeFillShade="D9"/>
          </w:tcPr>
          <w:p w14:paraId="364E8882" w14:textId="5A69829D" w:rsidR="00614148" w:rsidRPr="00C200B1" w:rsidRDefault="00614148" w:rsidP="009B337C">
            <w:pPr>
              <w:rPr>
                <w:b/>
              </w:rPr>
            </w:pPr>
            <w:r w:rsidRPr="00C200B1">
              <w:rPr>
                <w:b/>
              </w:rPr>
              <w:t xml:space="preserve">PDP </w:t>
            </w:r>
            <w:r w:rsidR="001E19E8">
              <w:rPr>
                <w:b/>
              </w:rPr>
              <w:t>Outcomes</w:t>
            </w:r>
          </w:p>
        </w:tc>
        <w:tc>
          <w:tcPr>
            <w:tcW w:w="3814" w:type="dxa"/>
            <w:shd w:val="clear" w:color="auto" w:fill="D9D9D9" w:themeFill="background1" w:themeFillShade="D9"/>
          </w:tcPr>
          <w:p w14:paraId="7DD7C54E" w14:textId="0DA98955" w:rsidR="00614148" w:rsidRPr="00C200B1" w:rsidRDefault="00614148" w:rsidP="009B337C">
            <w:pPr>
              <w:rPr>
                <w:b/>
              </w:rPr>
            </w:pPr>
            <w:r w:rsidRPr="00C200B1">
              <w:rPr>
                <w:b/>
              </w:rPr>
              <w:t xml:space="preserve">In the </w:t>
            </w:r>
            <w:r w:rsidR="001E19E8">
              <w:rPr>
                <w:b/>
              </w:rPr>
              <w:t xml:space="preserve">timetable </w:t>
            </w:r>
            <w:r w:rsidR="0052610B">
              <w:rPr>
                <w:b/>
              </w:rPr>
              <w:t xml:space="preserve">/ curriculum </w:t>
            </w:r>
          </w:p>
        </w:tc>
        <w:tc>
          <w:tcPr>
            <w:tcW w:w="1560" w:type="dxa"/>
            <w:shd w:val="clear" w:color="auto" w:fill="D9D9D9" w:themeFill="background1" w:themeFillShade="D9"/>
          </w:tcPr>
          <w:p w14:paraId="59B9389F" w14:textId="77777777" w:rsidR="00614148" w:rsidRPr="00C200B1" w:rsidRDefault="00614148" w:rsidP="009B337C">
            <w:pPr>
              <w:rPr>
                <w:b/>
              </w:rPr>
            </w:pPr>
            <w:r w:rsidRPr="00C200B1">
              <w:rPr>
                <w:b/>
              </w:rPr>
              <w:t>School based provision</w:t>
            </w:r>
          </w:p>
        </w:tc>
        <w:tc>
          <w:tcPr>
            <w:tcW w:w="4110" w:type="dxa"/>
            <w:shd w:val="clear" w:color="auto" w:fill="D9D9D9" w:themeFill="background1" w:themeFillShade="D9"/>
          </w:tcPr>
          <w:p w14:paraId="2E50A0FC" w14:textId="77777777" w:rsidR="00614148" w:rsidRDefault="0052610B" w:rsidP="009B337C">
            <w:pPr>
              <w:rPr>
                <w:b/>
              </w:rPr>
            </w:pPr>
            <w:r>
              <w:rPr>
                <w:b/>
              </w:rPr>
              <w:t xml:space="preserve">Extra-curricular </w:t>
            </w:r>
          </w:p>
          <w:p w14:paraId="31BE0C32" w14:textId="794FC65F" w:rsidR="002E2CEB" w:rsidRPr="002E2CEB" w:rsidRDefault="002E2CEB" w:rsidP="009B337C">
            <w:pPr>
              <w:rPr>
                <w:b/>
                <w:i/>
              </w:rPr>
            </w:pPr>
            <w:r w:rsidRPr="002E2CEB">
              <w:rPr>
                <w:b/>
                <w:i/>
              </w:rPr>
              <w:t>Indicate any you will take special steps to promote</w:t>
            </w:r>
            <w:r>
              <w:rPr>
                <w:b/>
                <w:i/>
              </w:rPr>
              <w:t xml:space="preserve"> or include</w:t>
            </w:r>
          </w:p>
        </w:tc>
      </w:tr>
      <w:tr w:rsidR="00614148" w14:paraId="31C893D1" w14:textId="77777777" w:rsidTr="0040294E">
        <w:tc>
          <w:tcPr>
            <w:tcW w:w="1147" w:type="dxa"/>
            <w:shd w:val="clear" w:color="auto" w:fill="auto"/>
          </w:tcPr>
          <w:p w14:paraId="46440B2B" w14:textId="77777777" w:rsidR="00614148" w:rsidRDefault="00614148" w:rsidP="009B337C">
            <w:r>
              <w:t xml:space="preserve">Reflective learning </w:t>
            </w:r>
          </w:p>
          <w:p w14:paraId="3B6D3974" w14:textId="77777777" w:rsidR="001E19E8" w:rsidRDefault="001E19E8" w:rsidP="009B337C"/>
          <w:p w14:paraId="6841DFE5" w14:textId="77777777" w:rsidR="001E19E8" w:rsidRDefault="001E19E8" w:rsidP="009B337C">
            <w:r>
              <w:t>Career Planning</w:t>
            </w:r>
          </w:p>
          <w:p w14:paraId="42373C58" w14:textId="77777777" w:rsidR="001E19E8" w:rsidRDefault="001E19E8" w:rsidP="009B337C"/>
          <w:p w14:paraId="5C12C1E0" w14:textId="77777777" w:rsidR="001E19E8" w:rsidRDefault="001E19E8" w:rsidP="009B337C">
            <w:r>
              <w:t>Personal Growth</w:t>
            </w:r>
          </w:p>
          <w:p w14:paraId="56A49A45" w14:textId="77777777" w:rsidR="00614148" w:rsidRDefault="00614148" w:rsidP="009B337C">
            <w:pPr>
              <w:ind w:left="720"/>
            </w:pPr>
          </w:p>
        </w:tc>
        <w:tc>
          <w:tcPr>
            <w:tcW w:w="3814" w:type="dxa"/>
            <w:shd w:val="clear" w:color="auto" w:fill="auto"/>
          </w:tcPr>
          <w:p w14:paraId="03BF387D" w14:textId="62745E55" w:rsidR="00614148" w:rsidRPr="007F0E5A" w:rsidRDefault="00614148" w:rsidP="009B337C">
            <w:r w:rsidRPr="007F0E5A">
              <w:t xml:space="preserve">[   ] ‘Career </w:t>
            </w:r>
            <w:r w:rsidR="001E19E8" w:rsidRPr="007F0E5A">
              <w:t>content</w:t>
            </w:r>
            <w:r w:rsidRPr="007F0E5A">
              <w:t xml:space="preserve">’ in </w:t>
            </w:r>
            <w:r w:rsidR="001E19E8" w:rsidRPr="007F0E5A">
              <w:t xml:space="preserve">course </w:t>
            </w:r>
          </w:p>
          <w:p w14:paraId="59E6CAB5" w14:textId="001F0DAA" w:rsidR="00614148" w:rsidRDefault="00614148" w:rsidP="009B337C">
            <w:r w:rsidRPr="007F0E5A">
              <w:t xml:space="preserve">[   ] Huddersfield Graduate Attributes  in the curriculum, mapped </w:t>
            </w:r>
            <w:r w:rsidR="00F1345D" w:rsidRPr="007F0E5A">
              <w:t xml:space="preserve">in </w:t>
            </w:r>
            <w:r w:rsidRPr="007F0E5A">
              <w:t>MSD / PSD</w:t>
            </w:r>
          </w:p>
          <w:p w14:paraId="5AA7DCF4" w14:textId="77777777" w:rsidR="00BD4A57" w:rsidRPr="007F0E5A" w:rsidRDefault="00BD4A57" w:rsidP="00BD4A57">
            <w:r w:rsidRPr="00D323FD">
              <w:t>[   ] GPA sessions</w:t>
            </w:r>
            <w:r w:rsidRPr="007F0E5A">
              <w:t xml:space="preserve"> </w:t>
            </w:r>
          </w:p>
          <w:p w14:paraId="05FB5D8C" w14:textId="297351E9" w:rsidR="001E19E8" w:rsidRDefault="001E19E8" w:rsidP="009B337C">
            <w:r w:rsidRPr="007F0E5A">
              <w:t xml:space="preserve">[   ] other employability aspects </w:t>
            </w:r>
            <w:r w:rsidR="00871AF4">
              <w:t xml:space="preserve">embedded </w:t>
            </w:r>
            <w:r w:rsidR="00F1345D" w:rsidRPr="007F0E5A">
              <w:t>in</w:t>
            </w:r>
            <w:r w:rsidRPr="007F0E5A">
              <w:t xml:space="preserve"> the curriculum</w:t>
            </w:r>
          </w:p>
          <w:p w14:paraId="2B8B0607" w14:textId="77777777" w:rsidR="00871AF4" w:rsidRPr="007F0E5A" w:rsidRDefault="00871AF4" w:rsidP="00871AF4">
            <w:r w:rsidRPr="007F0E5A">
              <w:t xml:space="preserve">[   ] Employability module(s) </w:t>
            </w:r>
          </w:p>
          <w:p w14:paraId="40C6B7C2" w14:textId="6489D491" w:rsidR="00871AF4" w:rsidRPr="007F0E5A" w:rsidRDefault="00871AF4" w:rsidP="009B337C">
            <w:r w:rsidRPr="007F0E5A">
              <w:t>[</w:t>
            </w:r>
            <w:r>
              <w:t xml:space="preserve">   ]</w:t>
            </w:r>
            <w:r w:rsidRPr="007F0E5A">
              <w:t xml:space="preserve"> Enterprise skills activities /</w:t>
            </w:r>
            <w:r>
              <w:t xml:space="preserve"> modules</w:t>
            </w:r>
          </w:p>
          <w:p w14:paraId="17406488" w14:textId="582E60FC" w:rsidR="001E19E8" w:rsidRPr="007F0E5A" w:rsidRDefault="001E19E8" w:rsidP="001E19E8">
            <w:r w:rsidRPr="007F0E5A">
              <w:t>[   ] Work experience / live projects</w:t>
            </w:r>
          </w:p>
          <w:p w14:paraId="700824A8" w14:textId="77777777" w:rsidR="007055BF" w:rsidRPr="007F0E5A" w:rsidRDefault="007055BF" w:rsidP="007055BF">
            <w:r w:rsidRPr="007F0E5A">
              <w:t>[   ] Placement Unit inputs</w:t>
            </w:r>
          </w:p>
          <w:p w14:paraId="1C5D7061" w14:textId="77777777" w:rsidR="001E19E8" w:rsidRPr="007F0E5A" w:rsidRDefault="00614148" w:rsidP="009B337C">
            <w:r w:rsidRPr="007F0E5A">
              <w:t>[   ] Support using academic feedback</w:t>
            </w:r>
          </w:p>
          <w:p w14:paraId="47ACEAD7" w14:textId="1B641887" w:rsidR="001E19E8" w:rsidRPr="007F0E5A" w:rsidRDefault="001E19E8" w:rsidP="009B337C">
            <w:r w:rsidRPr="007F0E5A">
              <w:t xml:space="preserve">[   ] </w:t>
            </w:r>
            <w:r w:rsidR="00265FD3" w:rsidRPr="007F0E5A">
              <w:t>R</w:t>
            </w:r>
            <w:r w:rsidRPr="007F0E5A">
              <w:t xml:space="preserve">eflective learning </w:t>
            </w:r>
          </w:p>
          <w:p w14:paraId="31DDFE1B" w14:textId="16ACAC4C" w:rsidR="001E19E8" w:rsidRPr="007F0E5A" w:rsidRDefault="001E19E8" w:rsidP="001E19E8">
            <w:r w:rsidRPr="007F0E5A">
              <w:t>[   ] Independent final year projects</w:t>
            </w:r>
          </w:p>
          <w:p w14:paraId="3C7DC101" w14:textId="3411675D" w:rsidR="002E6BFA" w:rsidRPr="007F0E5A" w:rsidRDefault="002E6BFA" w:rsidP="001E19E8">
            <w:r w:rsidRPr="007F0E5A">
              <w:t xml:space="preserve">[…] Other activities to develop wellbeing, resilience, happiness etc. </w:t>
            </w:r>
          </w:p>
          <w:p w14:paraId="7FAEF5C2" w14:textId="77777777" w:rsidR="00614148" w:rsidRPr="007F0E5A" w:rsidRDefault="00614148" w:rsidP="009B337C">
            <w:r w:rsidRPr="007F0E5A">
              <w:t>[   ] Other</w:t>
            </w:r>
          </w:p>
        </w:tc>
        <w:tc>
          <w:tcPr>
            <w:tcW w:w="1560" w:type="dxa"/>
            <w:shd w:val="clear" w:color="auto" w:fill="auto"/>
          </w:tcPr>
          <w:p w14:paraId="76171241" w14:textId="7476E9BB" w:rsidR="00614148" w:rsidRPr="007F0E5A" w:rsidRDefault="00614148" w:rsidP="009B337C">
            <w:r w:rsidRPr="007F0E5A">
              <w:t>[</w:t>
            </w:r>
            <w:r w:rsidR="007F0E5A" w:rsidRPr="007F0E5A">
              <w:t xml:space="preserve">   </w:t>
            </w:r>
            <w:r w:rsidRPr="007F0E5A">
              <w:t xml:space="preserve">] PAT meetings </w:t>
            </w:r>
            <w:r w:rsidR="00BD4A57" w:rsidRPr="00D323FD">
              <w:t>and group tutorials</w:t>
            </w:r>
            <w:r w:rsidR="00BD4A57">
              <w:t xml:space="preserve"> </w:t>
            </w:r>
            <w:r w:rsidR="001E19E8" w:rsidRPr="007F0E5A">
              <w:t xml:space="preserve">and </w:t>
            </w:r>
            <w:r w:rsidRPr="007F0E5A">
              <w:t xml:space="preserve">resources </w:t>
            </w:r>
          </w:p>
          <w:p w14:paraId="6E242E56" w14:textId="75C6DB12" w:rsidR="00614148" w:rsidRPr="007F0E5A" w:rsidRDefault="00614148" w:rsidP="009B337C">
            <w:r w:rsidRPr="007F0E5A">
              <w:t xml:space="preserve">[   ] Other </w:t>
            </w:r>
          </w:p>
        </w:tc>
        <w:tc>
          <w:tcPr>
            <w:tcW w:w="4110" w:type="dxa"/>
            <w:shd w:val="clear" w:color="auto" w:fill="auto"/>
          </w:tcPr>
          <w:p w14:paraId="7D129AA4" w14:textId="298C5130" w:rsidR="00614148" w:rsidRPr="007F0E5A" w:rsidRDefault="002E2CEB" w:rsidP="001E19E8">
            <w:r w:rsidRPr="007F0E5A">
              <w:t xml:space="preserve">[…] </w:t>
            </w:r>
            <w:r w:rsidR="00614148" w:rsidRPr="007F0E5A">
              <w:t>Careers appointments</w:t>
            </w:r>
          </w:p>
          <w:p w14:paraId="4DC37A17" w14:textId="6A89F5AB" w:rsidR="00614148" w:rsidRPr="007F0E5A" w:rsidRDefault="002E2CEB" w:rsidP="001E19E8">
            <w:r w:rsidRPr="007F0E5A">
              <w:t xml:space="preserve">[…] </w:t>
            </w:r>
            <w:r w:rsidR="00614148" w:rsidRPr="007F0E5A">
              <w:t xml:space="preserve">Careers Readiness </w:t>
            </w:r>
            <w:r w:rsidR="00A96A11" w:rsidRPr="007F0E5A">
              <w:t>S</w:t>
            </w:r>
            <w:r w:rsidR="00614148" w:rsidRPr="007F0E5A">
              <w:t>urvey</w:t>
            </w:r>
          </w:p>
          <w:p w14:paraId="5F2FAF94" w14:textId="586AE489" w:rsidR="001E19E8" w:rsidRPr="007F0E5A" w:rsidRDefault="002E2CEB" w:rsidP="001E19E8">
            <w:r w:rsidRPr="007F0E5A">
              <w:t xml:space="preserve">[…] </w:t>
            </w:r>
            <w:r w:rsidR="001E19E8" w:rsidRPr="007F0E5A">
              <w:t>Careers workshops</w:t>
            </w:r>
          </w:p>
          <w:p w14:paraId="436F97D5" w14:textId="7B221BBE" w:rsidR="001E19E8" w:rsidRPr="007F0E5A" w:rsidRDefault="002E2CEB" w:rsidP="001E19E8">
            <w:r w:rsidRPr="007F0E5A">
              <w:t xml:space="preserve">[…] </w:t>
            </w:r>
            <w:r w:rsidR="001E19E8" w:rsidRPr="007F0E5A">
              <w:t>Careers events / fairs</w:t>
            </w:r>
          </w:p>
          <w:p w14:paraId="2B20A2C4" w14:textId="3B8CC5EB" w:rsidR="001E19E8" w:rsidRPr="007F0E5A" w:rsidRDefault="002E2CEB" w:rsidP="001E19E8">
            <w:r w:rsidRPr="007F0E5A">
              <w:t xml:space="preserve">[...] </w:t>
            </w:r>
            <w:r w:rsidR="00D323FD">
              <w:t>Careers website</w:t>
            </w:r>
            <w:r w:rsidR="001E19E8" w:rsidRPr="007F0E5A">
              <w:t xml:space="preserve"> and </w:t>
            </w:r>
            <w:proofErr w:type="spellStart"/>
            <w:r w:rsidR="001E19E8" w:rsidRPr="007F0E5A">
              <w:t>Job</w:t>
            </w:r>
            <w:r w:rsidR="00871AF4">
              <w:t>Shop</w:t>
            </w:r>
            <w:proofErr w:type="spellEnd"/>
          </w:p>
          <w:p w14:paraId="1E11119F" w14:textId="68E64970" w:rsidR="001E19E8" w:rsidRPr="007F0E5A" w:rsidRDefault="002E2CEB" w:rsidP="001E19E8">
            <w:r w:rsidRPr="007F0E5A">
              <w:t xml:space="preserve">[…] </w:t>
            </w:r>
            <w:r w:rsidR="001E19E8" w:rsidRPr="007F0E5A">
              <w:t xml:space="preserve">Disability workshops </w:t>
            </w:r>
          </w:p>
          <w:p w14:paraId="0FDDC121" w14:textId="2429FAA6" w:rsidR="00614148" w:rsidRPr="007F0E5A" w:rsidRDefault="002E2CEB" w:rsidP="001E19E8">
            <w:r w:rsidRPr="007F0E5A">
              <w:t xml:space="preserve">[…] </w:t>
            </w:r>
            <w:r w:rsidR="00614148" w:rsidRPr="007F0E5A">
              <w:t xml:space="preserve">Wellbeing workshops </w:t>
            </w:r>
          </w:p>
          <w:p w14:paraId="4946C396" w14:textId="64F5ED93" w:rsidR="001E19E8" w:rsidRPr="007F0E5A" w:rsidRDefault="002E2CEB" w:rsidP="001E19E8">
            <w:r w:rsidRPr="007F0E5A">
              <w:t xml:space="preserve">[…] </w:t>
            </w:r>
            <w:r w:rsidR="001E19E8" w:rsidRPr="007F0E5A">
              <w:t xml:space="preserve">Big White Wall </w:t>
            </w:r>
          </w:p>
          <w:p w14:paraId="3ACA3EF7" w14:textId="3B9BEBF3" w:rsidR="00614148" w:rsidRPr="007F0E5A" w:rsidRDefault="007F0E5A" w:rsidP="001E19E8">
            <w:r w:rsidRPr="007F0E5A">
              <w:t xml:space="preserve">[…] </w:t>
            </w:r>
            <w:r w:rsidR="00614148" w:rsidRPr="007F0E5A">
              <w:t>Enterprise workshops</w:t>
            </w:r>
            <w:r w:rsidR="00D95DF7" w:rsidRPr="007F0E5A">
              <w:t xml:space="preserve"> and special projects </w:t>
            </w:r>
          </w:p>
          <w:p w14:paraId="7BDE4BAA" w14:textId="3873BC8E" w:rsidR="001E19E8" w:rsidRPr="007F0E5A" w:rsidRDefault="007F0E5A" w:rsidP="001E19E8">
            <w:r w:rsidRPr="007F0E5A">
              <w:t xml:space="preserve">[   ] </w:t>
            </w:r>
            <w:r w:rsidR="001E19E8" w:rsidRPr="007F0E5A">
              <w:t xml:space="preserve">SU Societies and training for officers </w:t>
            </w:r>
          </w:p>
          <w:p w14:paraId="1A09B2F8" w14:textId="3CD0DA80" w:rsidR="001E19E8" w:rsidRPr="007F0E5A" w:rsidRDefault="007F0E5A" w:rsidP="001E19E8">
            <w:r w:rsidRPr="007F0E5A">
              <w:t xml:space="preserve">[   ] </w:t>
            </w:r>
            <w:r w:rsidR="001E19E8" w:rsidRPr="007F0E5A">
              <w:t xml:space="preserve">SU training </w:t>
            </w:r>
          </w:p>
          <w:p w14:paraId="01239177" w14:textId="0245EA7E" w:rsidR="001E19E8" w:rsidRPr="007F0E5A" w:rsidRDefault="007F0E5A" w:rsidP="001E19E8">
            <w:r w:rsidRPr="007F0E5A">
              <w:t xml:space="preserve">[   ] </w:t>
            </w:r>
            <w:r w:rsidR="001E19E8" w:rsidRPr="007F0E5A">
              <w:t>BAME initiatives</w:t>
            </w:r>
          </w:p>
          <w:p w14:paraId="4C902CA4" w14:textId="1F65E0E7" w:rsidR="001E19E8" w:rsidRPr="007F0E5A" w:rsidRDefault="007F0E5A" w:rsidP="001E19E8">
            <w:r w:rsidRPr="007F0E5A">
              <w:t xml:space="preserve">[   ] </w:t>
            </w:r>
            <w:r w:rsidR="001E19E8" w:rsidRPr="007F0E5A">
              <w:t>Other relevant online learning (</w:t>
            </w:r>
            <w:proofErr w:type="spellStart"/>
            <w:r w:rsidR="001E19E8" w:rsidRPr="007F0E5A">
              <w:t>eg</w:t>
            </w:r>
            <w:proofErr w:type="spellEnd"/>
            <w:r w:rsidR="001E19E8" w:rsidRPr="007F0E5A">
              <w:t xml:space="preserve"> LinkedIn Learning)</w:t>
            </w:r>
          </w:p>
          <w:p w14:paraId="520D6213" w14:textId="4C2C6A02" w:rsidR="001E19E8" w:rsidRPr="007F0E5A" w:rsidRDefault="007F0E5A" w:rsidP="001E19E8">
            <w:r w:rsidRPr="007F0E5A">
              <w:t xml:space="preserve">[   ] Employability </w:t>
            </w:r>
            <w:r w:rsidR="001E19E8" w:rsidRPr="007F0E5A">
              <w:t>Mentoring</w:t>
            </w:r>
          </w:p>
          <w:p w14:paraId="667857AE" w14:textId="77777777" w:rsidR="00614148" w:rsidRPr="007F0E5A" w:rsidRDefault="00614148" w:rsidP="001E19E8">
            <w:r w:rsidRPr="007F0E5A">
              <w:t>[   ] Other</w:t>
            </w:r>
          </w:p>
        </w:tc>
      </w:tr>
    </w:tbl>
    <w:p w14:paraId="76DB7816" w14:textId="64C0CF7D" w:rsidR="00065BB5" w:rsidRDefault="00065BB5" w:rsidP="00D57CA0"/>
    <w:p w14:paraId="578EFA69" w14:textId="6151A509" w:rsidR="004E0A8F" w:rsidRDefault="004E0A8F">
      <w:pPr>
        <w:rPr>
          <w:b/>
          <w:sz w:val="28"/>
          <w:szCs w:val="28"/>
        </w:rPr>
      </w:pPr>
      <w:r>
        <w:rPr>
          <w:b/>
          <w:sz w:val="28"/>
          <w:szCs w:val="28"/>
        </w:rPr>
        <w:br w:type="page"/>
      </w:r>
    </w:p>
    <w:p w14:paraId="5C9AE8EA" w14:textId="0A63466B" w:rsidR="00525204" w:rsidRPr="0025694E" w:rsidRDefault="00614148" w:rsidP="00525204">
      <w:pPr>
        <w:rPr>
          <w:b/>
          <w:sz w:val="28"/>
          <w:szCs w:val="28"/>
        </w:rPr>
      </w:pPr>
      <w:r w:rsidRPr="0025694E">
        <w:rPr>
          <w:b/>
          <w:sz w:val="28"/>
          <w:szCs w:val="28"/>
        </w:rPr>
        <w:lastRenderedPageBreak/>
        <w:t xml:space="preserve">Step 2: </w:t>
      </w:r>
      <w:r w:rsidR="00BD4A57">
        <w:rPr>
          <w:b/>
          <w:sz w:val="28"/>
          <w:szCs w:val="28"/>
        </w:rPr>
        <w:t xml:space="preserve">Understand the employability challenges and opportunities </w:t>
      </w:r>
    </w:p>
    <w:p w14:paraId="17E8AEE3" w14:textId="6F1BB2CF" w:rsidR="00BD4A57" w:rsidRDefault="00052656" w:rsidP="00BD4A57">
      <w:pPr>
        <w:rPr>
          <w:b/>
        </w:rPr>
      </w:pPr>
      <w:r w:rsidRPr="00D323FD">
        <w:rPr>
          <w:b/>
        </w:rPr>
        <w:t>Consider</w:t>
      </w:r>
      <w:r w:rsidR="00BD4A57" w:rsidRPr="00D323FD">
        <w:rPr>
          <w:b/>
        </w:rPr>
        <w:t xml:space="preserve"> these questions</w:t>
      </w:r>
    </w:p>
    <w:tbl>
      <w:tblPr>
        <w:tblStyle w:val="TableGrid"/>
        <w:tblW w:w="10456" w:type="dxa"/>
        <w:tblLook w:val="04A0" w:firstRow="1" w:lastRow="0" w:firstColumn="1" w:lastColumn="0" w:noHBand="0" w:noVBand="1"/>
      </w:tblPr>
      <w:tblGrid>
        <w:gridCol w:w="1541"/>
        <w:gridCol w:w="4510"/>
        <w:gridCol w:w="4405"/>
      </w:tblGrid>
      <w:tr w:rsidR="00BD4A57" w14:paraId="3AF2B980" w14:textId="0CE77968" w:rsidTr="00BD4A57">
        <w:tc>
          <w:tcPr>
            <w:tcW w:w="1541" w:type="dxa"/>
          </w:tcPr>
          <w:p w14:paraId="5489E77F" w14:textId="77777777" w:rsidR="00BD4A57" w:rsidRDefault="00BD4A57" w:rsidP="00AB426C">
            <w:pPr>
              <w:rPr>
                <w:b/>
              </w:rPr>
            </w:pPr>
            <w:r>
              <w:rPr>
                <w:b/>
              </w:rPr>
              <w:t>Aspect</w:t>
            </w:r>
          </w:p>
        </w:tc>
        <w:tc>
          <w:tcPr>
            <w:tcW w:w="4510" w:type="dxa"/>
          </w:tcPr>
          <w:p w14:paraId="4982D358" w14:textId="77777777" w:rsidR="00BD4A57" w:rsidRDefault="00BD4A57" w:rsidP="00AB426C">
            <w:pPr>
              <w:rPr>
                <w:b/>
              </w:rPr>
            </w:pPr>
            <w:r>
              <w:rPr>
                <w:b/>
              </w:rPr>
              <w:t xml:space="preserve">Reflective questions </w:t>
            </w:r>
          </w:p>
        </w:tc>
        <w:tc>
          <w:tcPr>
            <w:tcW w:w="4405" w:type="dxa"/>
          </w:tcPr>
          <w:p w14:paraId="2729478D" w14:textId="5EEADD9D" w:rsidR="00BD4A57" w:rsidRDefault="00BD4A57" w:rsidP="00AB426C">
            <w:pPr>
              <w:rPr>
                <w:b/>
              </w:rPr>
            </w:pPr>
            <w:r>
              <w:rPr>
                <w:b/>
              </w:rPr>
              <w:t xml:space="preserve">Data Sources </w:t>
            </w:r>
          </w:p>
        </w:tc>
      </w:tr>
      <w:tr w:rsidR="00BD4A57" w14:paraId="33E9F9CA" w14:textId="75AAAB9C" w:rsidTr="00BD4A57">
        <w:tc>
          <w:tcPr>
            <w:tcW w:w="1541" w:type="dxa"/>
          </w:tcPr>
          <w:p w14:paraId="0CC337DF" w14:textId="657A7950" w:rsidR="00BD4A57" w:rsidRPr="001B0B16" w:rsidRDefault="00525C28" w:rsidP="00AB426C">
            <w:pPr>
              <w:rPr>
                <w:b/>
              </w:rPr>
            </w:pPr>
            <w:r>
              <w:rPr>
                <w:b/>
              </w:rPr>
              <w:t>The student body</w:t>
            </w:r>
          </w:p>
          <w:p w14:paraId="38432DB8" w14:textId="77777777" w:rsidR="00BD4A57" w:rsidRDefault="00BD4A57" w:rsidP="00AB426C">
            <w:pPr>
              <w:rPr>
                <w:b/>
              </w:rPr>
            </w:pPr>
          </w:p>
        </w:tc>
        <w:tc>
          <w:tcPr>
            <w:tcW w:w="4510" w:type="dxa"/>
          </w:tcPr>
          <w:p w14:paraId="043DBF2B" w14:textId="6B457C1F" w:rsidR="00BD4A57" w:rsidRDefault="00BD4A57" w:rsidP="00AB426C">
            <w:pPr>
              <w:pStyle w:val="ListParagraph"/>
              <w:numPr>
                <w:ilvl w:val="0"/>
                <w:numId w:val="34"/>
              </w:numPr>
            </w:pPr>
            <w:r>
              <w:t>What challenges do your students face (e.g. demographic, educational, social and cultural capital)?</w:t>
            </w:r>
          </w:p>
          <w:p w14:paraId="4FDB877F" w14:textId="77777777" w:rsidR="00BD4A57" w:rsidRPr="00BB780E" w:rsidRDefault="00BD4A57" w:rsidP="00AB426C">
            <w:pPr>
              <w:pStyle w:val="ListParagraph"/>
              <w:numPr>
                <w:ilvl w:val="0"/>
                <w:numId w:val="34"/>
              </w:numPr>
            </w:pPr>
            <w:r w:rsidRPr="00BB780E">
              <w:t xml:space="preserve">How well do your students do with developing their career thinking and implementing their plans? </w:t>
            </w:r>
          </w:p>
        </w:tc>
        <w:tc>
          <w:tcPr>
            <w:tcW w:w="4405" w:type="dxa"/>
          </w:tcPr>
          <w:p w14:paraId="3B863A20" w14:textId="7F1B40E6" w:rsidR="00BD4A57" w:rsidRPr="00D323FD" w:rsidRDefault="00BD4A57" w:rsidP="00BD4A57">
            <w:pPr>
              <w:pStyle w:val="ListParagraph"/>
              <w:numPr>
                <w:ilvl w:val="0"/>
                <w:numId w:val="36"/>
              </w:numPr>
            </w:pPr>
            <w:r w:rsidRPr="00D323FD">
              <w:t xml:space="preserve">Apollo (demographic data, differential attainment data, </w:t>
            </w:r>
            <w:proofErr w:type="spellStart"/>
            <w:r w:rsidRPr="00D323FD">
              <w:t>OfS</w:t>
            </w:r>
            <w:proofErr w:type="spellEnd"/>
            <w:r w:rsidRPr="00D323FD">
              <w:t xml:space="preserve"> benchmarks) </w:t>
            </w:r>
          </w:p>
          <w:p w14:paraId="04545920" w14:textId="77777777" w:rsidR="00BD4A57" w:rsidRPr="00D323FD" w:rsidRDefault="00BD4A57" w:rsidP="00BD4A57">
            <w:pPr>
              <w:pStyle w:val="ListParagraph"/>
              <w:numPr>
                <w:ilvl w:val="0"/>
                <w:numId w:val="36"/>
              </w:numPr>
            </w:pPr>
            <w:r w:rsidRPr="00D323FD">
              <w:t xml:space="preserve">Careers Readiness Questionnaire data </w:t>
            </w:r>
          </w:p>
          <w:p w14:paraId="2F867323" w14:textId="6F62E899" w:rsidR="00525C28" w:rsidRPr="00D323FD" w:rsidRDefault="00525C28" w:rsidP="00BD4A57">
            <w:pPr>
              <w:pStyle w:val="ListParagraph"/>
              <w:numPr>
                <w:ilvl w:val="0"/>
                <w:numId w:val="36"/>
              </w:numPr>
            </w:pPr>
            <w:r w:rsidRPr="00D323FD">
              <w:t>NSS / HSS</w:t>
            </w:r>
          </w:p>
        </w:tc>
      </w:tr>
      <w:tr w:rsidR="00BD4A57" w14:paraId="741B1030" w14:textId="53FBDC1B" w:rsidTr="00BD4A57">
        <w:tc>
          <w:tcPr>
            <w:tcW w:w="1541" w:type="dxa"/>
          </w:tcPr>
          <w:p w14:paraId="2602EA78" w14:textId="0DAD5165" w:rsidR="00BD4A57" w:rsidRDefault="00525C28" w:rsidP="00525C28">
            <w:pPr>
              <w:rPr>
                <w:b/>
              </w:rPr>
            </w:pPr>
            <w:r>
              <w:rPr>
                <w:b/>
              </w:rPr>
              <w:t xml:space="preserve">Progression </w:t>
            </w:r>
          </w:p>
        </w:tc>
        <w:tc>
          <w:tcPr>
            <w:tcW w:w="4510" w:type="dxa"/>
          </w:tcPr>
          <w:p w14:paraId="58E9BF28" w14:textId="77777777" w:rsidR="00BD4A57" w:rsidRPr="00D323FD" w:rsidRDefault="00BD4A57" w:rsidP="00AB426C">
            <w:pPr>
              <w:pStyle w:val="ListParagraph"/>
              <w:numPr>
                <w:ilvl w:val="0"/>
                <w:numId w:val="33"/>
              </w:numPr>
            </w:pPr>
            <w:r w:rsidRPr="00D323FD">
              <w:t xml:space="preserve">Does the subject lead to a low or high proportion of students getting graduate level careers / study? </w:t>
            </w:r>
          </w:p>
          <w:p w14:paraId="1A5738E6" w14:textId="77777777" w:rsidR="00BD4A57" w:rsidRPr="00D323FD" w:rsidRDefault="00BD4A57" w:rsidP="00AB426C">
            <w:pPr>
              <w:pStyle w:val="ListParagraph"/>
              <w:numPr>
                <w:ilvl w:val="0"/>
                <w:numId w:val="33"/>
              </w:numPr>
            </w:pPr>
            <w:r w:rsidRPr="00D323FD">
              <w:t xml:space="preserve">If the GO results are good, what do you need to do to maintain that strong performance? </w:t>
            </w:r>
          </w:p>
          <w:p w14:paraId="1F2EA174" w14:textId="77777777" w:rsidR="00BD4A57" w:rsidRPr="00D323FD" w:rsidRDefault="00BD4A57" w:rsidP="00AB426C">
            <w:pPr>
              <w:pStyle w:val="ListParagraph"/>
              <w:numPr>
                <w:ilvl w:val="0"/>
                <w:numId w:val="33"/>
              </w:numPr>
            </w:pPr>
            <w:r w:rsidRPr="00D323FD">
              <w:t>Are relevant opportunities expanding or contracting nationally, or geographically localised?</w:t>
            </w:r>
          </w:p>
          <w:p w14:paraId="5AF4A712" w14:textId="77777777" w:rsidR="00BD4A57" w:rsidRPr="00D323FD" w:rsidRDefault="00BD4A57" w:rsidP="00AB426C">
            <w:pPr>
              <w:pStyle w:val="ListParagraph"/>
              <w:numPr>
                <w:ilvl w:val="0"/>
                <w:numId w:val="33"/>
              </w:numPr>
            </w:pPr>
            <w:r w:rsidRPr="00D323FD">
              <w:t>Are relevant opportunities well-advertised or part of the ‘hidden’ jobs market?</w:t>
            </w:r>
          </w:p>
          <w:p w14:paraId="76BA45C3" w14:textId="77777777" w:rsidR="00BD4A57" w:rsidRPr="00D323FD" w:rsidRDefault="00BD4A57" w:rsidP="00AB426C">
            <w:pPr>
              <w:pStyle w:val="ListParagraph"/>
              <w:numPr>
                <w:ilvl w:val="0"/>
                <w:numId w:val="33"/>
              </w:numPr>
            </w:pPr>
            <w:r w:rsidRPr="00D323FD">
              <w:t>Are relevant occupational routes complex and hard to navigate?</w:t>
            </w:r>
          </w:p>
          <w:p w14:paraId="63133D14" w14:textId="5B1AC444" w:rsidR="00BD4A57" w:rsidRPr="00D323FD" w:rsidRDefault="00BD4A57" w:rsidP="00AB426C">
            <w:pPr>
              <w:pStyle w:val="ListParagraph"/>
              <w:numPr>
                <w:ilvl w:val="0"/>
                <w:numId w:val="33"/>
              </w:numPr>
            </w:pPr>
            <w:r w:rsidRPr="00D323FD">
              <w:t xml:space="preserve">Are relevant opportunities characterised by short term contracts, portfolio working, self-employment / freelancing etc.? </w:t>
            </w:r>
          </w:p>
        </w:tc>
        <w:tc>
          <w:tcPr>
            <w:tcW w:w="4405" w:type="dxa"/>
          </w:tcPr>
          <w:p w14:paraId="577EB893" w14:textId="076BE494" w:rsidR="00BD4A57" w:rsidRPr="00D323FD" w:rsidRDefault="00BD4A57" w:rsidP="00BD4A57">
            <w:pPr>
              <w:pStyle w:val="ListParagraph"/>
              <w:numPr>
                <w:ilvl w:val="0"/>
                <w:numId w:val="37"/>
              </w:numPr>
            </w:pPr>
            <w:r w:rsidRPr="00D323FD">
              <w:t xml:space="preserve">Apollo (Graduate Outcomes) </w:t>
            </w:r>
          </w:p>
          <w:p w14:paraId="1BCE190B" w14:textId="6941CD9C" w:rsidR="00BD4A57" w:rsidRPr="00D323FD" w:rsidRDefault="00BD4A57" w:rsidP="00BD4A57">
            <w:pPr>
              <w:pStyle w:val="ListParagraph"/>
              <w:numPr>
                <w:ilvl w:val="0"/>
                <w:numId w:val="37"/>
              </w:numPr>
            </w:pPr>
            <w:r w:rsidRPr="00D323FD">
              <w:t>Prospects: What Can I Do With My Degree in…?</w:t>
            </w:r>
            <w:r w:rsidR="00F6584A" w:rsidRPr="00D323FD">
              <w:t xml:space="preserve"> </w:t>
            </w:r>
            <w:hyperlink r:id="rId12" w:history="1">
              <w:r w:rsidR="00F6584A" w:rsidRPr="00D323FD">
                <w:rPr>
                  <w:rStyle w:val="Hyperlink"/>
                </w:rPr>
                <w:t>https://www.prospects.ac.uk/careers-advice/what-can-i-do-with-my-degree</w:t>
              </w:r>
            </w:hyperlink>
            <w:r w:rsidR="00F6584A" w:rsidRPr="00D323FD">
              <w:t xml:space="preserve"> </w:t>
            </w:r>
          </w:p>
          <w:p w14:paraId="31187D14" w14:textId="08BB4A77" w:rsidR="00BD4A57" w:rsidRPr="00D323FD" w:rsidRDefault="00BD4A57" w:rsidP="00BD4A57">
            <w:pPr>
              <w:pStyle w:val="ListParagraph"/>
              <w:numPr>
                <w:ilvl w:val="0"/>
                <w:numId w:val="37"/>
              </w:numPr>
            </w:pPr>
            <w:r w:rsidRPr="00D323FD">
              <w:t>Luminate: What Do Graduates Do?</w:t>
            </w:r>
            <w:r w:rsidR="00F6584A" w:rsidRPr="00D323FD">
              <w:t xml:space="preserve"> </w:t>
            </w:r>
            <w:hyperlink r:id="rId13" w:history="1">
              <w:r w:rsidR="00F6584A" w:rsidRPr="00D323FD">
                <w:rPr>
                  <w:rStyle w:val="Hyperlink"/>
                </w:rPr>
                <w:t>https://luminate.prospects.ac.uk/what-do-graduates-do</w:t>
              </w:r>
            </w:hyperlink>
            <w:r w:rsidR="00F6584A" w:rsidRPr="00D323FD">
              <w:t xml:space="preserve"> </w:t>
            </w:r>
          </w:p>
          <w:p w14:paraId="5614615F" w14:textId="4B3A26FF" w:rsidR="00BD4A57" w:rsidRPr="00D323FD" w:rsidRDefault="00BD4A57" w:rsidP="00BD4A57">
            <w:pPr>
              <w:pStyle w:val="ListParagraph"/>
              <w:numPr>
                <w:ilvl w:val="0"/>
                <w:numId w:val="37"/>
              </w:numPr>
            </w:pPr>
            <w:r w:rsidRPr="00D323FD">
              <w:t>Options with My Degree</w:t>
            </w:r>
          </w:p>
          <w:p w14:paraId="379B492C" w14:textId="6428C6F9" w:rsidR="00BD4A57" w:rsidRPr="00D323FD" w:rsidRDefault="00BD4A57" w:rsidP="00BD4A57">
            <w:pPr>
              <w:pStyle w:val="ListParagraph"/>
              <w:numPr>
                <w:ilvl w:val="0"/>
                <w:numId w:val="37"/>
              </w:numPr>
            </w:pPr>
            <w:r w:rsidRPr="00D323FD">
              <w:t xml:space="preserve">As a first step, please refer to the reports needed for the </w:t>
            </w:r>
            <w:r w:rsidRPr="00D323FD">
              <w:rPr>
                <w:b/>
                <w:bCs/>
              </w:rPr>
              <w:t>Marketing Report</w:t>
            </w:r>
            <w:r w:rsidRPr="00D323FD">
              <w:t xml:space="preserve"> and </w:t>
            </w:r>
            <w:r w:rsidRPr="00D323FD">
              <w:rPr>
                <w:b/>
                <w:bCs/>
              </w:rPr>
              <w:t>Course Rationale</w:t>
            </w:r>
            <w:r w:rsidRPr="00D323FD">
              <w:t xml:space="preserve"> </w:t>
            </w:r>
          </w:p>
          <w:p w14:paraId="66FB4A90" w14:textId="77777777" w:rsidR="00F6584A" w:rsidRPr="00D323FD" w:rsidRDefault="00F6584A" w:rsidP="00F6584A">
            <w:pPr>
              <w:pStyle w:val="ListParagraph"/>
              <w:numPr>
                <w:ilvl w:val="0"/>
                <w:numId w:val="37"/>
              </w:numPr>
            </w:pPr>
            <w:r w:rsidRPr="00D323FD">
              <w:t xml:space="preserve">Lightcast labour market information. </w:t>
            </w:r>
          </w:p>
          <w:p w14:paraId="1BDC31A5" w14:textId="77777777" w:rsidR="0089354E" w:rsidRPr="00D323FD" w:rsidRDefault="0089354E" w:rsidP="00BD4A57">
            <w:pPr>
              <w:pStyle w:val="ListParagraph"/>
              <w:numPr>
                <w:ilvl w:val="0"/>
                <w:numId w:val="37"/>
              </w:numPr>
            </w:pPr>
            <w:r w:rsidRPr="00D323FD">
              <w:t>Your SEEP (School Enterprise &amp; Employability Plan)</w:t>
            </w:r>
          </w:p>
          <w:p w14:paraId="2381EBBD" w14:textId="68D8CF5A" w:rsidR="0089354E" w:rsidRPr="00D323FD" w:rsidRDefault="0089354E" w:rsidP="00BD4A57">
            <w:pPr>
              <w:pStyle w:val="ListParagraph"/>
              <w:numPr>
                <w:ilvl w:val="0"/>
                <w:numId w:val="37"/>
              </w:numPr>
            </w:pPr>
            <w:r w:rsidRPr="00D323FD">
              <w:t>Sector Reports, professional bodies, and Sector Skills Councils.</w:t>
            </w:r>
          </w:p>
          <w:p w14:paraId="0037E236" w14:textId="5E6BCE5E" w:rsidR="0089354E" w:rsidRPr="00D323FD" w:rsidRDefault="0089354E" w:rsidP="00BD4A57">
            <w:pPr>
              <w:pStyle w:val="ListParagraph"/>
              <w:numPr>
                <w:ilvl w:val="0"/>
                <w:numId w:val="37"/>
              </w:numPr>
            </w:pPr>
            <w:r w:rsidRPr="00D323FD">
              <w:t xml:space="preserve">Employer networks. </w:t>
            </w:r>
          </w:p>
        </w:tc>
      </w:tr>
      <w:tr w:rsidR="00BD4A57" w14:paraId="2AF47ED2" w14:textId="7AEDE264" w:rsidTr="0089354E">
        <w:trPr>
          <w:trHeight w:val="1744"/>
        </w:trPr>
        <w:tc>
          <w:tcPr>
            <w:tcW w:w="1541" w:type="dxa"/>
          </w:tcPr>
          <w:p w14:paraId="4D48FF2B" w14:textId="77777777" w:rsidR="00BD4A57" w:rsidRPr="001B0B16" w:rsidRDefault="00BD4A57" w:rsidP="00AB426C">
            <w:pPr>
              <w:rPr>
                <w:b/>
              </w:rPr>
            </w:pPr>
            <w:r w:rsidRPr="001B0B16">
              <w:rPr>
                <w:b/>
              </w:rPr>
              <w:t>The curriculum (content, teaching and assessment)</w:t>
            </w:r>
          </w:p>
          <w:p w14:paraId="0471E6AC" w14:textId="77777777" w:rsidR="00BD4A57" w:rsidRDefault="00BD4A57" w:rsidP="00AB426C">
            <w:pPr>
              <w:rPr>
                <w:b/>
              </w:rPr>
            </w:pPr>
          </w:p>
        </w:tc>
        <w:tc>
          <w:tcPr>
            <w:tcW w:w="4510" w:type="dxa"/>
          </w:tcPr>
          <w:p w14:paraId="20AB03FE" w14:textId="77777777" w:rsidR="00BD4A57" w:rsidRPr="00D323FD" w:rsidRDefault="00BD4A57" w:rsidP="00AB426C">
            <w:pPr>
              <w:pStyle w:val="ListParagraph"/>
              <w:numPr>
                <w:ilvl w:val="0"/>
                <w:numId w:val="35"/>
              </w:numPr>
            </w:pPr>
            <w:r w:rsidRPr="00D323FD">
              <w:t xml:space="preserve">What careers inputs / issues are already included in the modules?  </w:t>
            </w:r>
          </w:p>
          <w:p w14:paraId="70E4F674" w14:textId="77777777" w:rsidR="00BD4A57" w:rsidRPr="00D323FD" w:rsidRDefault="00BD4A57" w:rsidP="00AB426C">
            <w:pPr>
              <w:pStyle w:val="ListParagraph"/>
              <w:numPr>
                <w:ilvl w:val="0"/>
                <w:numId w:val="35"/>
              </w:numPr>
            </w:pPr>
            <w:r w:rsidRPr="00D323FD">
              <w:t xml:space="preserve">How could discipline issues and methodologies enable careers issues to be addressed? </w:t>
            </w:r>
          </w:p>
          <w:p w14:paraId="48B4BE47" w14:textId="77777777" w:rsidR="0089354E" w:rsidRPr="00D323FD" w:rsidRDefault="0089354E" w:rsidP="00AB426C">
            <w:pPr>
              <w:pStyle w:val="ListParagraph"/>
              <w:numPr>
                <w:ilvl w:val="0"/>
                <w:numId w:val="35"/>
              </w:numPr>
            </w:pPr>
            <w:r w:rsidRPr="00D323FD">
              <w:t xml:space="preserve">What new approaches might we introduce to increase student confidence and engagement? </w:t>
            </w:r>
          </w:p>
          <w:p w14:paraId="5BC4E0E4" w14:textId="593D4E9A" w:rsidR="0093063F" w:rsidRPr="00D323FD" w:rsidRDefault="0093063F" w:rsidP="00AB426C">
            <w:pPr>
              <w:pStyle w:val="ListParagraph"/>
              <w:numPr>
                <w:ilvl w:val="0"/>
                <w:numId w:val="35"/>
              </w:numPr>
            </w:pPr>
            <w:r w:rsidRPr="00D323FD">
              <w:t xml:space="preserve">How could we work with employers and professional bodies to improve the curriculum?  </w:t>
            </w:r>
          </w:p>
        </w:tc>
        <w:tc>
          <w:tcPr>
            <w:tcW w:w="4405" w:type="dxa"/>
          </w:tcPr>
          <w:p w14:paraId="69F31B34" w14:textId="5A65081C" w:rsidR="00BD4A57" w:rsidRPr="00D323FD" w:rsidRDefault="00525C28" w:rsidP="00BD4A57">
            <w:r w:rsidRPr="00D323FD">
              <w:t>Future World of Work Global Trends</w:t>
            </w:r>
            <w:r w:rsidR="0089354E" w:rsidRPr="00D323FD">
              <w:t xml:space="preserve"> from the CES: </w:t>
            </w:r>
            <w:hyperlink r:id="rId14" w:history="1">
              <w:r w:rsidR="00F6584A" w:rsidRPr="00D323FD">
                <w:rPr>
                  <w:rStyle w:val="Hyperlink"/>
                </w:rPr>
                <w:t>Employability Resources INT - Home (sharepoint.com)</w:t>
              </w:r>
            </w:hyperlink>
            <w:r w:rsidR="00F6584A" w:rsidRPr="00D323FD">
              <w:t xml:space="preserve"> </w:t>
            </w:r>
          </w:p>
          <w:p w14:paraId="4BD25D41" w14:textId="20D9AD91" w:rsidR="0093063F" w:rsidRPr="00D323FD" w:rsidRDefault="0093063F" w:rsidP="00BD4A57">
            <w:r w:rsidRPr="00D323FD">
              <w:t xml:space="preserve">You can get ideas on employers to work with from your School Enterprise &amp; Employability Group (SEEG), your Careers Consultant, the CES Business Partnership Team and your School’s Placement Unit. </w:t>
            </w:r>
          </w:p>
          <w:p w14:paraId="1313200D" w14:textId="03F85C21" w:rsidR="0093063F" w:rsidRPr="00D323FD" w:rsidRDefault="0093063F" w:rsidP="00BD4A57"/>
        </w:tc>
      </w:tr>
    </w:tbl>
    <w:p w14:paraId="00B1F8AA" w14:textId="77777777" w:rsidR="00BD4A57" w:rsidRDefault="00BD4A57" w:rsidP="00BD4A57">
      <w:pPr>
        <w:rPr>
          <w:b/>
        </w:rPr>
      </w:pPr>
    </w:p>
    <w:p w14:paraId="6A7163F4" w14:textId="1AD93E07" w:rsidR="00BD4A57" w:rsidRDefault="0089354E" w:rsidP="00525204">
      <w:r w:rsidRPr="00D323FD">
        <w:t>Where possible you are encouraged to discuss the above with your School’s Careers Consultant</w:t>
      </w:r>
      <w:r>
        <w:t xml:space="preserve"> </w:t>
      </w:r>
    </w:p>
    <w:p w14:paraId="79878ADC" w14:textId="1088AE7D" w:rsidR="008A405A" w:rsidRDefault="008A405A">
      <w:r>
        <w:br w:type="page"/>
      </w:r>
      <w:bookmarkStart w:id="0" w:name="_GoBack"/>
      <w:bookmarkEnd w:id="0"/>
    </w:p>
    <w:p w14:paraId="669AA21D" w14:textId="77777777" w:rsidR="00BD4A57" w:rsidRDefault="00BD4A57" w:rsidP="00525204"/>
    <w:p w14:paraId="5A291FCF" w14:textId="77AB5749" w:rsidR="0089354E" w:rsidRPr="0025694E" w:rsidRDefault="0089354E" w:rsidP="0089354E">
      <w:pPr>
        <w:rPr>
          <w:b/>
          <w:sz w:val="28"/>
          <w:szCs w:val="28"/>
        </w:rPr>
      </w:pPr>
      <w:r w:rsidRPr="0025694E">
        <w:rPr>
          <w:b/>
          <w:sz w:val="28"/>
          <w:szCs w:val="28"/>
        </w:rPr>
        <w:t xml:space="preserve">Step </w:t>
      </w:r>
      <w:r>
        <w:rPr>
          <w:b/>
          <w:sz w:val="28"/>
          <w:szCs w:val="28"/>
        </w:rPr>
        <w:t>3</w:t>
      </w:r>
      <w:r w:rsidRPr="0025694E">
        <w:rPr>
          <w:b/>
          <w:sz w:val="28"/>
          <w:szCs w:val="28"/>
        </w:rPr>
        <w:t xml:space="preserve">: </w:t>
      </w:r>
      <w:r>
        <w:rPr>
          <w:b/>
          <w:sz w:val="28"/>
          <w:szCs w:val="28"/>
        </w:rPr>
        <w:t xml:space="preserve">Plan </w:t>
      </w:r>
      <w:r w:rsidR="00052656">
        <w:rPr>
          <w:b/>
          <w:sz w:val="28"/>
          <w:szCs w:val="28"/>
        </w:rPr>
        <w:t xml:space="preserve">and design </w:t>
      </w:r>
      <w:r>
        <w:rPr>
          <w:b/>
          <w:sz w:val="28"/>
          <w:szCs w:val="28"/>
        </w:rPr>
        <w:t xml:space="preserve">careers support  </w:t>
      </w:r>
    </w:p>
    <w:p w14:paraId="3FBAEFDB" w14:textId="1FE564AA" w:rsidR="0089354E" w:rsidRDefault="0089354E" w:rsidP="00525204">
      <w:r>
        <w:t xml:space="preserve">Reflecting upon questions 1 and 2, what sort of careers and PDP support is needed for your course? </w:t>
      </w:r>
    </w:p>
    <w:p w14:paraId="61E8705E" w14:textId="5780C052" w:rsidR="00E27952" w:rsidRPr="00074BAE" w:rsidRDefault="00E27952" w:rsidP="00E27952">
      <w:pPr>
        <w:rPr>
          <w:b/>
        </w:rPr>
      </w:pPr>
      <w:r>
        <w:t xml:space="preserve">Because one size doesn’t fit all, we have shown </w:t>
      </w:r>
      <w:r w:rsidR="00A96A11">
        <w:t xml:space="preserve">below </w:t>
      </w:r>
      <w:r>
        <w:t xml:space="preserve">how career inputs </w:t>
      </w:r>
      <w:r w:rsidR="00EA1CC5">
        <w:t>range</w:t>
      </w:r>
      <w:r>
        <w:t xml:space="preserve"> along a continuum (1-5, with 1 being least intensive and 5 being </w:t>
      </w:r>
      <w:r w:rsidR="00A96A11">
        <w:t xml:space="preserve">the </w:t>
      </w:r>
      <w:r>
        <w:t xml:space="preserve">most intensive). </w:t>
      </w:r>
    </w:p>
    <w:p w14:paraId="2D2BC381" w14:textId="77777777" w:rsidR="0062367F" w:rsidRDefault="0062367F" w:rsidP="0062367F">
      <w:pPr>
        <w:tabs>
          <w:tab w:val="left" w:pos="2430"/>
        </w:tabs>
      </w:pPr>
      <w:r>
        <w:rPr>
          <w:b/>
          <w:noProof/>
          <w:sz w:val="28"/>
          <w:szCs w:val="28"/>
        </w:rPr>
        <mc:AlternateContent>
          <mc:Choice Requires="wps">
            <w:drawing>
              <wp:anchor distT="0" distB="0" distL="114300" distR="114300" simplePos="0" relativeHeight="251664384" behindDoc="0" locked="0" layoutInCell="1" allowOverlap="1" wp14:anchorId="18F27935" wp14:editId="29209443">
                <wp:simplePos x="0" y="0"/>
                <wp:positionH relativeFrom="column">
                  <wp:posOffset>552450</wp:posOffset>
                </wp:positionH>
                <wp:positionV relativeFrom="paragraph">
                  <wp:posOffset>17145</wp:posOffset>
                </wp:positionV>
                <wp:extent cx="6057900" cy="704850"/>
                <wp:effectExtent l="0" t="19050" r="38100" b="38100"/>
                <wp:wrapNone/>
                <wp:docPr id="10" name="Arrow: Striped Right 10"/>
                <wp:cNvGraphicFramePr/>
                <a:graphic xmlns:a="http://schemas.openxmlformats.org/drawingml/2006/main">
                  <a:graphicData uri="http://schemas.microsoft.com/office/word/2010/wordprocessingShape">
                    <wps:wsp>
                      <wps:cNvSpPr/>
                      <wps:spPr>
                        <a:xfrm>
                          <a:off x="0" y="0"/>
                          <a:ext cx="6057900" cy="7048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A933F9" w14:textId="77777777" w:rsidR="00DA152F" w:rsidRPr="00455263" w:rsidRDefault="00DA152F" w:rsidP="0062367F">
                            <w:pPr>
                              <w:jc w:val="center"/>
                              <w:rPr>
                                <w:b/>
                                <w:sz w:val="32"/>
                                <w:szCs w:val="32"/>
                              </w:rPr>
                            </w:pPr>
                            <w:r>
                              <w:rPr>
                                <w:b/>
                                <w:sz w:val="32"/>
                                <w:szCs w:val="32"/>
                              </w:rPr>
                              <w:t xml:space="preserve">Career Inputs </w:t>
                            </w:r>
                            <w:r w:rsidRPr="00455263">
                              <w:rPr>
                                <w:b/>
                                <w:sz w:val="32"/>
                                <w:szCs w:val="32"/>
                              </w:rPr>
                              <w:t>Intensity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2793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0" o:spid="_x0000_s1026" type="#_x0000_t93" style="position:absolute;margin-left:43.5pt;margin-top:1.35pt;width:477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" adj="20343" fillcolor="#4472c4 [3204]" strokecolor="#1f3763 [1604]" strokeweight="1pt">
                <v:textbox>
                  <w:txbxContent>
                    <w:p w14:paraId="3BA933F9" w14:textId="77777777" w:rsidR="00DA152F" w:rsidRPr="00455263" w:rsidRDefault="00DA152F" w:rsidP="0062367F">
                      <w:pPr>
                        <w:jc w:val="center"/>
                        <w:rPr>
                          <w:b/>
                          <w:sz w:val="32"/>
                          <w:szCs w:val="32"/>
                        </w:rPr>
                      </w:pPr>
                      <w:r>
                        <w:rPr>
                          <w:b/>
                          <w:sz w:val="32"/>
                          <w:szCs w:val="32"/>
                        </w:rPr>
                        <w:t xml:space="preserve">Career Inputs </w:t>
                      </w:r>
                      <w:r w:rsidRPr="00455263">
                        <w:rPr>
                          <w:b/>
                          <w:sz w:val="32"/>
                          <w:szCs w:val="32"/>
                        </w:rPr>
                        <w:t>Intensity</w:t>
                      </w:r>
                    </w:p>
                  </w:txbxContent>
                </v:textbox>
              </v:shape>
            </w:pict>
          </mc:Fallback>
        </mc:AlternateContent>
      </w:r>
      <w:r>
        <w:rPr>
          <w:noProof/>
        </w:rPr>
        <w:drawing>
          <wp:anchor distT="0" distB="0" distL="114300" distR="114300" simplePos="0" relativeHeight="251662336" behindDoc="0" locked="0" layoutInCell="1" allowOverlap="1" wp14:anchorId="61E4960B" wp14:editId="2B14E4E3">
            <wp:simplePos x="0" y="0"/>
            <wp:positionH relativeFrom="page">
              <wp:align>right</wp:align>
            </wp:positionH>
            <wp:positionV relativeFrom="paragraph">
              <wp:posOffset>294005</wp:posOffset>
            </wp:positionV>
            <wp:extent cx="7096125" cy="2257425"/>
            <wp:effectExtent l="0" t="0" r="0" b="9525"/>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tbl>
      <w:tblPr>
        <w:tblStyle w:val="TableGrid"/>
        <w:tblW w:w="0" w:type="auto"/>
        <w:tblInd w:w="988" w:type="dxa"/>
        <w:shd w:val="clear" w:color="auto" w:fill="4C68F2"/>
        <w:tblLook w:val="04A0" w:firstRow="1" w:lastRow="0" w:firstColumn="1" w:lastColumn="0" w:noHBand="0" w:noVBand="1"/>
      </w:tblPr>
      <w:tblGrid>
        <w:gridCol w:w="9468"/>
      </w:tblGrid>
      <w:tr w:rsidR="0062367F" w:rsidRPr="0081185F" w14:paraId="7F5603B0" w14:textId="77777777" w:rsidTr="0062367F">
        <w:tc>
          <w:tcPr>
            <w:tcW w:w="9468" w:type="dxa"/>
            <w:shd w:val="clear" w:color="auto" w:fill="4C68F2"/>
          </w:tcPr>
          <w:p w14:paraId="02F80149" w14:textId="77777777" w:rsidR="0062367F" w:rsidRPr="0081185F" w:rsidRDefault="00DA152F" w:rsidP="00DA152F">
            <w:pPr>
              <w:spacing w:after="160" w:line="259" w:lineRule="auto"/>
              <w:rPr>
                <w:color w:val="FFFFFF" w:themeColor="background1"/>
              </w:rPr>
            </w:pPr>
            <w:r>
              <w:rPr>
                <w:b/>
                <w:color w:val="FFFFFF" w:themeColor="background1"/>
                <w:sz w:val="28"/>
                <w:szCs w:val="28"/>
              </w:rPr>
              <w:t xml:space="preserve">                         </w:t>
            </w:r>
            <w:r w:rsidR="0062367F" w:rsidRPr="0081185F">
              <w:rPr>
                <w:b/>
                <w:color w:val="FFFFFF" w:themeColor="background1"/>
                <w:sz w:val="28"/>
                <w:szCs w:val="28"/>
              </w:rPr>
              <w:t xml:space="preserve">1                </w:t>
            </w:r>
            <w:r w:rsidR="0062367F">
              <w:rPr>
                <w:b/>
                <w:color w:val="FFFFFF" w:themeColor="background1"/>
                <w:sz w:val="28"/>
                <w:szCs w:val="28"/>
              </w:rPr>
              <w:t xml:space="preserve">  </w:t>
            </w:r>
            <w:r w:rsidR="0062367F" w:rsidRPr="0081185F">
              <w:rPr>
                <w:b/>
                <w:color w:val="FFFFFF" w:themeColor="background1"/>
                <w:sz w:val="28"/>
                <w:szCs w:val="28"/>
              </w:rPr>
              <w:t xml:space="preserve">  2   </w:t>
            </w:r>
            <w:r w:rsidR="0062367F">
              <w:rPr>
                <w:b/>
                <w:color w:val="FFFFFF" w:themeColor="background1"/>
                <w:sz w:val="28"/>
                <w:szCs w:val="28"/>
              </w:rPr>
              <w:t xml:space="preserve">    </w:t>
            </w:r>
            <w:r w:rsidR="0062367F" w:rsidRPr="0081185F">
              <w:rPr>
                <w:b/>
                <w:color w:val="FFFFFF" w:themeColor="background1"/>
                <w:sz w:val="28"/>
                <w:szCs w:val="28"/>
              </w:rPr>
              <w:t xml:space="preserve">               3   </w:t>
            </w:r>
            <w:r w:rsidR="0062367F">
              <w:rPr>
                <w:b/>
                <w:color w:val="FFFFFF" w:themeColor="background1"/>
                <w:sz w:val="28"/>
                <w:szCs w:val="28"/>
              </w:rPr>
              <w:t xml:space="preserve">    </w:t>
            </w:r>
            <w:r w:rsidR="0062367F" w:rsidRPr="0081185F">
              <w:rPr>
                <w:b/>
                <w:color w:val="FFFFFF" w:themeColor="background1"/>
                <w:sz w:val="28"/>
                <w:szCs w:val="28"/>
              </w:rPr>
              <w:t xml:space="preserve">           4             </w:t>
            </w:r>
            <w:r w:rsidR="0062367F">
              <w:rPr>
                <w:b/>
                <w:color w:val="FFFFFF" w:themeColor="background1"/>
                <w:sz w:val="28"/>
                <w:szCs w:val="28"/>
              </w:rPr>
              <w:t xml:space="preserve">      </w:t>
            </w:r>
            <w:r w:rsidR="0062367F" w:rsidRPr="0081185F">
              <w:rPr>
                <w:b/>
                <w:color w:val="FFFFFF" w:themeColor="background1"/>
                <w:sz w:val="28"/>
                <w:szCs w:val="28"/>
              </w:rPr>
              <w:t xml:space="preserve">    5</w:t>
            </w:r>
          </w:p>
        </w:tc>
      </w:tr>
    </w:tbl>
    <w:p w14:paraId="21D883A8" w14:textId="77777777" w:rsidR="0062367F" w:rsidRDefault="0062367F" w:rsidP="0062367F"/>
    <w:tbl>
      <w:tblPr>
        <w:tblStyle w:val="TableGrid"/>
        <w:tblW w:w="10773" w:type="dxa"/>
        <w:tblInd w:w="-5" w:type="dxa"/>
        <w:tblLook w:val="04A0" w:firstRow="1" w:lastRow="0" w:firstColumn="1" w:lastColumn="0" w:noHBand="0" w:noVBand="1"/>
      </w:tblPr>
      <w:tblGrid>
        <w:gridCol w:w="3828"/>
        <w:gridCol w:w="3260"/>
        <w:gridCol w:w="3685"/>
      </w:tblGrid>
      <w:tr w:rsidR="0062367F" w:rsidRPr="0077270D" w14:paraId="7B3A0C29" w14:textId="77777777" w:rsidTr="000C553A">
        <w:trPr>
          <w:cantSplit/>
        </w:trPr>
        <w:tc>
          <w:tcPr>
            <w:tcW w:w="3828" w:type="dxa"/>
            <w:shd w:val="clear" w:color="auto" w:fill="4472C4" w:themeFill="accent1"/>
          </w:tcPr>
          <w:p w14:paraId="0A3F933C" w14:textId="6FE68E5D" w:rsidR="0062367F" w:rsidRPr="0077270D" w:rsidRDefault="0062367F" w:rsidP="00DA152F">
            <w:pPr>
              <w:jc w:val="center"/>
              <w:rPr>
                <w:b/>
                <w:color w:val="FFFFFF" w:themeColor="background1"/>
                <w:sz w:val="28"/>
                <w:szCs w:val="28"/>
              </w:rPr>
            </w:pPr>
            <w:r>
              <w:rPr>
                <w:b/>
                <w:color w:val="FFFFFF" w:themeColor="background1"/>
                <w:sz w:val="28"/>
                <w:szCs w:val="28"/>
              </w:rPr>
              <w:t>S</w:t>
            </w:r>
            <w:r w:rsidR="00C03A84">
              <w:rPr>
                <w:b/>
                <w:color w:val="FFFFFF" w:themeColor="background1"/>
                <w:sz w:val="28"/>
                <w:szCs w:val="28"/>
              </w:rPr>
              <w:t xml:space="preserve">ignposting </w:t>
            </w:r>
          </w:p>
        </w:tc>
        <w:tc>
          <w:tcPr>
            <w:tcW w:w="3260" w:type="dxa"/>
            <w:shd w:val="clear" w:color="auto" w:fill="00B0F0"/>
          </w:tcPr>
          <w:p w14:paraId="4400180C" w14:textId="77777777" w:rsidR="0062367F" w:rsidRPr="0077270D" w:rsidRDefault="0062367F" w:rsidP="00DA152F">
            <w:pPr>
              <w:jc w:val="center"/>
              <w:rPr>
                <w:b/>
                <w:color w:val="FFFFFF" w:themeColor="background1"/>
                <w:sz w:val="28"/>
                <w:szCs w:val="28"/>
              </w:rPr>
            </w:pPr>
            <w:r>
              <w:rPr>
                <w:b/>
                <w:color w:val="FFFFFF" w:themeColor="background1"/>
                <w:sz w:val="28"/>
                <w:szCs w:val="28"/>
              </w:rPr>
              <w:t>Targeted</w:t>
            </w:r>
          </w:p>
        </w:tc>
        <w:tc>
          <w:tcPr>
            <w:tcW w:w="3685" w:type="dxa"/>
            <w:shd w:val="clear" w:color="auto" w:fill="D41CBE"/>
          </w:tcPr>
          <w:p w14:paraId="52A7677D" w14:textId="77777777" w:rsidR="0062367F" w:rsidRPr="0077270D" w:rsidRDefault="0062367F" w:rsidP="00DA152F">
            <w:pPr>
              <w:jc w:val="center"/>
              <w:rPr>
                <w:b/>
                <w:color w:val="FFFFFF" w:themeColor="background1"/>
                <w:sz w:val="28"/>
                <w:szCs w:val="28"/>
              </w:rPr>
            </w:pPr>
            <w:r w:rsidRPr="0077270D">
              <w:rPr>
                <w:b/>
                <w:color w:val="FFFFFF" w:themeColor="background1"/>
                <w:sz w:val="28"/>
                <w:szCs w:val="28"/>
              </w:rPr>
              <w:t>Embedded</w:t>
            </w:r>
          </w:p>
        </w:tc>
      </w:tr>
      <w:tr w:rsidR="0062367F" w:rsidRPr="00475705" w14:paraId="44F75061" w14:textId="77777777" w:rsidTr="000C553A">
        <w:trPr>
          <w:cantSplit/>
        </w:trPr>
        <w:tc>
          <w:tcPr>
            <w:tcW w:w="3828" w:type="dxa"/>
          </w:tcPr>
          <w:p w14:paraId="7CF1745B" w14:textId="77777777" w:rsidR="0062367F" w:rsidRPr="00475705" w:rsidRDefault="0062367F" w:rsidP="00DA152F">
            <w:pPr>
              <w:rPr>
                <w:b/>
              </w:rPr>
            </w:pPr>
            <w:r>
              <w:rPr>
                <w:b/>
              </w:rPr>
              <w:t xml:space="preserve">Approach </w:t>
            </w:r>
          </w:p>
        </w:tc>
        <w:tc>
          <w:tcPr>
            <w:tcW w:w="3260" w:type="dxa"/>
          </w:tcPr>
          <w:p w14:paraId="5609C3D0" w14:textId="77777777" w:rsidR="0062367F" w:rsidRPr="00475705" w:rsidRDefault="0062367F" w:rsidP="00DA152F">
            <w:pPr>
              <w:rPr>
                <w:b/>
              </w:rPr>
            </w:pPr>
            <w:r>
              <w:rPr>
                <w:b/>
              </w:rPr>
              <w:t xml:space="preserve">Approach </w:t>
            </w:r>
          </w:p>
        </w:tc>
        <w:tc>
          <w:tcPr>
            <w:tcW w:w="3685" w:type="dxa"/>
          </w:tcPr>
          <w:p w14:paraId="4FA9ED09" w14:textId="77777777" w:rsidR="0062367F" w:rsidRPr="00475705" w:rsidRDefault="0062367F" w:rsidP="00DA152F">
            <w:pPr>
              <w:rPr>
                <w:b/>
              </w:rPr>
            </w:pPr>
            <w:r>
              <w:rPr>
                <w:b/>
              </w:rPr>
              <w:t xml:space="preserve">Approach </w:t>
            </w:r>
          </w:p>
        </w:tc>
      </w:tr>
      <w:tr w:rsidR="0062367F" w:rsidRPr="00580429" w14:paraId="1928A9AB" w14:textId="77777777" w:rsidTr="000C553A">
        <w:trPr>
          <w:cantSplit/>
          <w:trHeight w:val="1097"/>
        </w:trPr>
        <w:tc>
          <w:tcPr>
            <w:tcW w:w="3828" w:type="dxa"/>
          </w:tcPr>
          <w:p w14:paraId="5ED37878" w14:textId="39EC80DC" w:rsidR="0062367F" w:rsidRPr="00580429" w:rsidRDefault="00414439" w:rsidP="00DA152F">
            <w:r w:rsidRPr="00580429">
              <w:t xml:space="preserve">Raising awareness of the actions </w:t>
            </w:r>
            <w:r w:rsidR="0062367F" w:rsidRPr="00580429">
              <w:t>student</w:t>
            </w:r>
            <w:r w:rsidR="00CA79A9">
              <w:t>s</w:t>
            </w:r>
            <w:r w:rsidR="0062367F" w:rsidRPr="00580429">
              <w:t xml:space="preserve"> </w:t>
            </w:r>
            <w:r w:rsidRPr="00580429">
              <w:t xml:space="preserve">should take </w:t>
            </w:r>
            <w:r w:rsidR="0062367F" w:rsidRPr="00580429">
              <w:t xml:space="preserve">and support </w:t>
            </w:r>
            <w:r w:rsidRPr="00580429">
              <w:t xml:space="preserve">available </w:t>
            </w:r>
            <w:r w:rsidR="0062367F" w:rsidRPr="00580429">
              <w:t>through info and comms at key points (mainly information and sign-posting</w:t>
            </w:r>
            <w:r w:rsidR="00FD7267" w:rsidRPr="00580429">
              <w:t>;</w:t>
            </w:r>
            <w:r w:rsidR="0062367F" w:rsidRPr="00580429">
              <w:t xml:space="preserve"> </w:t>
            </w:r>
            <w:r w:rsidR="0062367F" w:rsidRPr="00061ABD">
              <w:rPr>
                <w:i/>
              </w:rPr>
              <w:t>few</w:t>
            </w:r>
            <w:r w:rsidR="00FD7267" w:rsidRPr="00580429">
              <w:t>,</w:t>
            </w:r>
            <w:r w:rsidR="0062367F" w:rsidRPr="00580429">
              <w:t xml:space="preserve"> if any </w:t>
            </w:r>
            <w:r w:rsidR="00061ABD">
              <w:t xml:space="preserve">learning </w:t>
            </w:r>
            <w:r w:rsidR="0062367F" w:rsidRPr="00580429">
              <w:t xml:space="preserve">activities). </w:t>
            </w:r>
          </w:p>
        </w:tc>
        <w:tc>
          <w:tcPr>
            <w:tcW w:w="3260" w:type="dxa"/>
          </w:tcPr>
          <w:p w14:paraId="71C18EA0" w14:textId="77E3EACA" w:rsidR="0062367F" w:rsidRPr="00580429" w:rsidRDefault="0062367F" w:rsidP="00DA152F">
            <w:r w:rsidRPr="00580429">
              <w:t xml:space="preserve">Course relevant careers inputs (information </w:t>
            </w:r>
            <w:r w:rsidRPr="00580429">
              <w:rPr>
                <w:i/>
              </w:rPr>
              <w:t>and</w:t>
            </w:r>
            <w:r w:rsidRPr="00580429">
              <w:t xml:space="preserve"> </w:t>
            </w:r>
            <w:r w:rsidR="002D2471" w:rsidRPr="00580429">
              <w:t xml:space="preserve">learning </w:t>
            </w:r>
            <w:r w:rsidRPr="00580429">
              <w:t xml:space="preserve">activities) each year in </w:t>
            </w:r>
            <w:r w:rsidR="00B864F3" w:rsidRPr="00580429">
              <w:t>curriculum</w:t>
            </w:r>
            <w:r w:rsidRPr="00580429">
              <w:t xml:space="preserve"> (</w:t>
            </w:r>
            <w:r w:rsidR="00A15919" w:rsidRPr="00580429">
              <w:t>in module or in programme</w:t>
            </w:r>
            <w:r w:rsidR="00B864F3" w:rsidRPr="00580429">
              <w:t>, e.g. consolidation week</w:t>
            </w:r>
            <w:r w:rsidRPr="00580429">
              <w:t>)</w:t>
            </w:r>
          </w:p>
        </w:tc>
        <w:tc>
          <w:tcPr>
            <w:tcW w:w="3685" w:type="dxa"/>
          </w:tcPr>
          <w:p w14:paraId="298973B5" w14:textId="53077393" w:rsidR="0062367F" w:rsidRPr="00580429" w:rsidRDefault="0062367F" w:rsidP="00DA152F">
            <w:r w:rsidRPr="00580429">
              <w:t>A planned, tailored and substantial programme of activities and info</w:t>
            </w:r>
            <w:r w:rsidR="00414439" w:rsidRPr="00580429">
              <w:t xml:space="preserve"> / comms</w:t>
            </w:r>
            <w:r w:rsidRPr="00580429">
              <w:t xml:space="preserve"> in each year delivered mainly via dedicated space in </w:t>
            </w:r>
            <w:r w:rsidR="00061ABD">
              <w:t xml:space="preserve">(core) </w:t>
            </w:r>
            <w:r w:rsidRPr="00580429">
              <w:t>modules with credits attached.</w:t>
            </w:r>
          </w:p>
        </w:tc>
      </w:tr>
    </w:tbl>
    <w:p w14:paraId="1D45266A" w14:textId="12F0611C" w:rsidR="00414439" w:rsidRDefault="00414439" w:rsidP="00FD21D7">
      <w:pPr>
        <w:rPr>
          <w:b/>
        </w:rPr>
      </w:pPr>
    </w:p>
    <w:tbl>
      <w:tblPr>
        <w:tblStyle w:val="TableGrid"/>
        <w:tblW w:w="10768" w:type="dxa"/>
        <w:tblLook w:val="04A0" w:firstRow="1" w:lastRow="0" w:firstColumn="1" w:lastColumn="0" w:noHBand="0" w:noVBand="1"/>
      </w:tblPr>
      <w:tblGrid>
        <w:gridCol w:w="9776"/>
        <w:gridCol w:w="992"/>
      </w:tblGrid>
      <w:tr w:rsidR="0089354E" w14:paraId="375EDDD4" w14:textId="77777777" w:rsidTr="00AB426C">
        <w:tc>
          <w:tcPr>
            <w:tcW w:w="9776" w:type="dxa"/>
          </w:tcPr>
          <w:p w14:paraId="1A2CC0CB" w14:textId="5D0552AC" w:rsidR="0089354E" w:rsidRDefault="0089354E" w:rsidP="00AB426C">
            <w:pPr>
              <w:rPr>
                <w:b/>
              </w:rPr>
            </w:pPr>
            <w:r w:rsidRPr="0089354E">
              <w:rPr>
                <w:b/>
              </w:rPr>
              <w:t>Record the number (1-5) from the Careers Continuum which best corresponds to type of careers content you want to provide for your students. [NB this expresses an intention which can be revised later if required].</w:t>
            </w:r>
          </w:p>
        </w:tc>
        <w:tc>
          <w:tcPr>
            <w:tcW w:w="992" w:type="dxa"/>
          </w:tcPr>
          <w:p w14:paraId="41ECE01F" w14:textId="77777777" w:rsidR="0089354E" w:rsidRDefault="0089354E" w:rsidP="00AB426C">
            <w:pPr>
              <w:rPr>
                <w:b/>
              </w:rPr>
            </w:pPr>
          </w:p>
        </w:tc>
      </w:tr>
    </w:tbl>
    <w:p w14:paraId="4D70DC51" w14:textId="77777777" w:rsidR="0089354E" w:rsidRDefault="0089354E" w:rsidP="0089354E">
      <w:pPr>
        <w:rPr>
          <w:b/>
        </w:rPr>
      </w:pPr>
    </w:p>
    <w:p w14:paraId="607B745D" w14:textId="1B5852C0" w:rsidR="00052656" w:rsidRPr="008A405A" w:rsidRDefault="0089354E" w:rsidP="00FD21D7">
      <w:pPr>
        <w:rPr>
          <w:bCs/>
        </w:rPr>
      </w:pPr>
      <w:r w:rsidRPr="008A405A">
        <w:rPr>
          <w:bCs/>
        </w:rPr>
        <w:t>Obviously</w:t>
      </w:r>
      <w:r w:rsidR="008A509D" w:rsidRPr="008A405A">
        <w:rPr>
          <w:bCs/>
        </w:rPr>
        <w:t>,</w:t>
      </w:r>
      <w:r w:rsidRPr="008A405A">
        <w:rPr>
          <w:bCs/>
        </w:rPr>
        <w:t xml:space="preserve"> this is the start of an ongoing process to plan your careers and PDP inputs. We recommend that you talk to your Careers Consultant about this (and the Enterprise Team) who can tell you about the resources we have made to help </w:t>
      </w:r>
      <w:r w:rsidR="008A405A" w:rsidRPr="008A405A">
        <w:rPr>
          <w:bCs/>
        </w:rPr>
        <w:t>L</w:t>
      </w:r>
      <w:r w:rsidRPr="008A405A">
        <w:rPr>
          <w:bCs/>
        </w:rPr>
        <w:t>ectures with employability, enterprise and PDP</w:t>
      </w:r>
      <w:r w:rsidR="008A405A" w:rsidRPr="008A405A">
        <w:rPr>
          <w:bCs/>
        </w:rPr>
        <w:t xml:space="preserve"> in the </w:t>
      </w:r>
      <w:r w:rsidR="00052656" w:rsidRPr="008A405A">
        <w:rPr>
          <w:bCs/>
        </w:rPr>
        <w:t xml:space="preserve">University-wide Employability Resources SharePoint site. </w:t>
      </w:r>
      <w:hyperlink r:id="rId20" w:history="1">
        <w:r w:rsidR="008A509D" w:rsidRPr="008A405A">
          <w:rPr>
            <w:rStyle w:val="Hyperlink"/>
            <w:bCs/>
          </w:rPr>
          <w:t>Employability Resources INT - Home (sharepoint.com)</w:t>
        </w:r>
      </w:hyperlink>
      <w:r w:rsidR="008A509D" w:rsidRPr="008A405A">
        <w:rPr>
          <w:bCs/>
        </w:rPr>
        <w:t xml:space="preserve"> </w:t>
      </w:r>
    </w:p>
    <w:p w14:paraId="2214B0E8" w14:textId="77777777" w:rsidR="0089354E" w:rsidRDefault="0089354E" w:rsidP="00FD21D7">
      <w:pPr>
        <w:rPr>
          <w:b/>
        </w:rPr>
      </w:pPr>
    </w:p>
    <w:p w14:paraId="1CC85A3E" w14:textId="77DE98BE" w:rsidR="0089354E" w:rsidRPr="0007070C" w:rsidRDefault="008A509D" w:rsidP="00FD21D7">
      <w:pPr>
        <w:rPr>
          <w:b/>
        </w:rPr>
      </w:pPr>
      <w:r w:rsidRPr="0007070C">
        <w:rPr>
          <w:b/>
        </w:rPr>
        <w:t>If you would like to know more about the University’s approach to PDP</w:t>
      </w:r>
      <w:r w:rsidR="008A405A" w:rsidRPr="0007070C">
        <w:rPr>
          <w:b/>
        </w:rPr>
        <w:t>,</w:t>
      </w:r>
      <w:r w:rsidRPr="0007070C">
        <w:rPr>
          <w:b/>
        </w:rPr>
        <w:t xml:space="preserve"> please see the PDP Guide</w:t>
      </w:r>
      <w:r w:rsidR="0007070C" w:rsidRPr="0007070C">
        <w:rPr>
          <w:b/>
        </w:rPr>
        <w:t xml:space="preserve"> from CES.</w:t>
      </w:r>
      <w:r w:rsidR="00F6584A" w:rsidRPr="0007070C">
        <w:rPr>
          <w:b/>
        </w:rPr>
        <w:t xml:space="preserve"> </w:t>
      </w:r>
    </w:p>
    <w:sectPr w:rsidR="0089354E" w:rsidRPr="0007070C" w:rsidSect="00534BC3">
      <w:head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38D8C" w14:textId="77777777" w:rsidR="00DA152F" w:rsidRDefault="00DA152F" w:rsidP="0044640F">
      <w:pPr>
        <w:spacing w:after="0" w:line="240" w:lineRule="auto"/>
      </w:pPr>
      <w:r>
        <w:separator/>
      </w:r>
    </w:p>
  </w:endnote>
  <w:endnote w:type="continuationSeparator" w:id="0">
    <w:p w14:paraId="403B860D" w14:textId="77777777" w:rsidR="00DA152F" w:rsidRDefault="00DA152F" w:rsidP="0044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DC3D" w14:textId="77777777" w:rsidR="00DA152F" w:rsidRDefault="00DA152F" w:rsidP="0044640F">
      <w:pPr>
        <w:spacing w:after="0" w:line="240" w:lineRule="auto"/>
      </w:pPr>
      <w:r>
        <w:separator/>
      </w:r>
    </w:p>
  </w:footnote>
  <w:footnote w:type="continuationSeparator" w:id="0">
    <w:p w14:paraId="6CCC9252" w14:textId="77777777" w:rsidR="00DA152F" w:rsidRDefault="00DA152F" w:rsidP="0044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330910"/>
      <w:docPartObj>
        <w:docPartGallery w:val="Page Numbers (Top of Page)"/>
        <w:docPartUnique/>
      </w:docPartObj>
    </w:sdtPr>
    <w:sdtEndPr>
      <w:rPr>
        <w:noProof/>
      </w:rPr>
    </w:sdtEndPr>
    <w:sdtContent>
      <w:p w14:paraId="799A98D4" w14:textId="77777777" w:rsidR="00DA152F" w:rsidRDefault="00DA15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E607B5" w14:textId="77777777" w:rsidR="00DA152F" w:rsidRDefault="00DA1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2ED5"/>
    <w:multiLevelType w:val="hybridMultilevel"/>
    <w:tmpl w:val="B2A6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6A5"/>
    <w:multiLevelType w:val="hybridMultilevel"/>
    <w:tmpl w:val="2C2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B0B2F"/>
    <w:multiLevelType w:val="hybridMultilevel"/>
    <w:tmpl w:val="9C46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B53"/>
    <w:multiLevelType w:val="hybridMultilevel"/>
    <w:tmpl w:val="DCB227E8"/>
    <w:lvl w:ilvl="0" w:tplc="3B4675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27EEF"/>
    <w:multiLevelType w:val="hybridMultilevel"/>
    <w:tmpl w:val="FFFFFFFF"/>
    <w:lvl w:ilvl="0" w:tplc="EA30EA74">
      <w:start w:val="1"/>
      <w:numFmt w:val="bullet"/>
      <w:lvlText w:val=""/>
      <w:lvlJc w:val="left"/>
      <w:pPr>
        <w:ind w:left="720" w:hanging="360"/>
      </w:pPr>
      <w:rPr>
        <w:rFonts w:ascii="Symbol" w:hAnsi="Symbol" w:hint="default"/>
      </w:rPr>
    </w:lvl>
    <w:lvl w:ilvl="1" w:tplc="F342D13A">
      <w:start w:val="1"/>
      <w:numFmt w:val="bullet"/>
      <w:lvlText w:val="o"/>
      <w:lvlJc w:val="left"/>
      <w:pPr>
        <w:ind w:left="1440" w:hanging="360"/>
      </w:pPr>
      <w:rPr>
        <w:rFonts w:ascii="Courier New" w:hAnsi="Courier New" w:hint="default"/>
      </w:rPr>
    </w:lvl>
    <w:lvl w:ilvl="2" w:tplc="288849E8">
      <w:start w:val="1"/>
      <w:numFmt w:val="bullet"/>
      <w:lvlText w:val=""/>
      <w:lvlJc w:val="left"/>
      <w:pPr>
        <w:ind w:left="2160" w:hanging="360"/>
      </w:pPr>
      <w:rPr>
        <w:rFonts w:ascii="Wingdings" w:hAnsi="Wingdings" w:hint="default"/>
      </w:rPr>
    </w:lvl>
    <w:lvl w:ilvl="3" w:tplc="9B20819A">
      <w:start w:val="1"/>
      <w:numFmt w:val="bullet"/>
      <w:lvlText w:val=""/>
      <w:lvlJc w:val="left"/>
      <w:pPr>
        <w:ind w:left="2880" w:hanging="360"/>
      </w:pPr>
      <w:rPr>
        <w:rFonts w:ascii="Symbol" w:hAnsi="Symbol" w:hint="default"/>
      </w:rPr>
    </w:lvl>
    <w:lvl w:ilvl="4" w:tplc="873ED81E">
      <w:start w:val="1"/>
      <w:numFmt w:val="bullet"/>
      <w:lvlText w:val="o"/>
      <w:lvlJc w:val="left"/>
      <w:pPr>
        <w:ind w:left="3600" w:hanging="360"/>
      </w:pPr>
      <w:rPr>
        <w:rFonts w:ascii="Courier New" w:hAnsi="Courier New" w:hint="default"/>
      </w:rPr>
    </w:lvl>
    <w:lvl w:ilvl="5" w:tplc="89F4F92E">
      <w:start w:val="1"/>
      <w:numFmt w:val="bullet"/>
      <w:lvlText w:val=""/>
      <w:lvlJc w:val="left"/>
      <w:pPr>
        <w:ind w:left="4320" w:hanging="360"/>
      </w:pPr>
      <w:rPr>
        <w:rFonts w:ascii="Wingdings" w:hAnsi="Wingdings" w:hint="default"/>
      </w:rPr>
    </w:lvl>
    <w:lvl w:ilvl="6" w:tplc="03947C1C">
      <w:start w:val="1"/>
      <w:numFmt w:val="bullet"/>
      <w:lvlText w:val=""/>
      <w:lvlJc w:val="left"/>
      <w:pPr>
        <w:ind w:left="5040" w:hanging="360"/>
      </w:pPr>
      <w:rPr>
        <w:rFonts w:ascii="Symbol" w:hAnsi="Symbol" w:hint="default"/>
      </w:rPr>
    </w:lvl>
    <w:lvl w:ilvl="7" w:tplc="CD5AAC58">
      <w:start w:val="1"/>
      <w:numFmt w:val="bullet"/>
      <w:lvlText w:val="o"/>
      <w:lvlJc w:val="left"/>
      <w:pPr>
        <w:ind w:left="5760" w:hanging="360"/>
      </w:pPr>
      <w:rPr>
        <w:rFonts w:ascii="Courier New" w:hAnsi="Courier New" w:hint="default"/>
      </w:rPr>
    </w:lvl>
    <w:lvl w:ilvl="8" w:tplc="39528176">
      <w:start w:val="1"/>
      <w:numFmt w:val="bullet"/>
      <w:lvlText w:val=""/>
      <w:lvlJc w:val="left"/>
      <w:pPr>
        <w:ind w:left="6480" w:hanging="360"/>
      </w:pPr>
      <w:rPr>
        <w:rFonts w:ascii="Wingdings" w:hAnsi="Wingdings" w:hint="default"/>
      </w:rPr>
    </w:lvl>
  </w:abstractNum>
  <w:abstractNum w:abstractNumId="5" w15:restartNumberingAfterBreak="0">
    <w:nsid w:val="12C12794"/>
    <w:multiLevelType w:val="hybridMultilevel"/>
    <w:tmpl w:val="24CC1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B0A0A"/>
    <w:multiLevelType w:val="hybridMultilevel"/>
    <w:tmpl w:val="9C4ED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6515D"/>
    <w:multiLevelType w:val="hybridMultilevel"/>
    <w:tmpl w:val="37A62C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596D7A"/>
    <w:multiLevelType w:val="hybridMultilevel"/>
    <w:tmpl w:val="6E88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35018"/>
    <w:multiLevelType w:val="hybridMultilevel"/>
    <w:tmpl w:val="CD30286E"/>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CE679C"/>
    <w:multiLevelType w:val="hybridMultilevel"/>
    <w:tmpl w:val="466E5DD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8060EE"/>
    <w:multiLevelType w:val="hybridMultilevel"/>
    <w:tmpl w:val="C576D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34365"/>
    <w:multiLevelType w:val="hybridMultilevel"/>
    <w:tmpl w:val="FFFFFFFF"/>
    <w:lvl w:ilvl="0" w:tplc="8A24EDF2">
      <w:start w:val="1"/>
      <w:numFmt w:val="bullet"/>
      <w:lvlText w:val=""/>
      <w:lvlJc w:val="left"/>
      <w:pPr>
        <w:ind w:left="720" w:hanging="360"/>
      </w:pPr>
      <w:rPr>
        <w:rFonts w:ascii="Symbol" w:hAnsi="Symbol" w:hint="default"/>
      </w:rPr>
    </w:lvl>
    <w:lvl w:ilvl="1" w:tplc="22FEB094">
      <w:start w:val="1"/>
      <w:numFmt w:val="bullet"/>
      <w:lvlText w:val="o"/>
      <w:lvlJc w:val="left"/>
      <w:pPr>
        <w:ind w:left="1440" w:hanging="360"/>
      </w:pPr>
      <w:rPr>
        <w:rFonts w:ascii="Courier New" w:hAnsi="Courier New" w:hint="default"/>
      </w:rPr>
    </w:lvl>
    <w:lvl w:ilvl="2" w:tplc="A10E2558">
      <w:start w:val="1"/>
      <w:numFmt w:val="bullet"/>
      <w:lvlText w:val=""/>
      <w:lvlJc w:val="left"/>
      <w:pPr>
        <w:ind w:left="2160" w:hanging="360"/>
      </w:pPr>
      <w:rPr>
        <w:rFonts w:ascii="Wingdings" w:hAnsi="Wingdings" w:hint="default"/>
      </w:rPr>
    </w:lvl>
    <w:lvl w:ilvl="3" w:tplc="F5A2F9FA">
      <w:start w:val="1"/>
      <w:numFmt w:val="bullet"/>
      <w:lvlText w:val=""/>
      <w:lvlJc w:val="left"/>
      <w:pPr>
        <w:ind w:left="2880" w:hanging="360"/>
      </w:pPr>
      <w:rPr>
        <w:rFonts w:ascii="Symbol" w:hAnsi="Symbol" w:hint="default"/>
      </w:rPr>
    </w:lvl>
    <w:lvl w:ilvl="4" w:tplc="76A05D66">
      <w:start w:val="1"/>
      <w:numFmt w:val="bullet"/>
      <w:lvlText w:val="o"/>
      <w:lvlJc w:val="left"/>
      <w:pPr>
        <w:ind w:left="3600" w:hanging="360"/>
      </w:pPr>
      <w:rPr>
        <w:rFonts w:ascii="Courier New" w:hAnsi="Courier New" w:hint="default"/>
      </w:rPr>
    </w:lvl>
    <w:lvl w:ilvl="5" w:tplc="757C8DDC">
      <w:start w:val="1"/>
      <w:numFmt w:val="bullet"/>
      <w:lvlText w:val=""/>
      <w:lvlJc w:val="left"/>
      <w:pPr>
        <w:ind w:left="4320" w:hanging="360"/>
      </w:pPr>
      <w:rPr>
        <w:rFonts w:ascii="Wingdings" w:hAnsi="Wingdings" w:hint="default"/>
      </w:rPr>
    </w:lvl>
    <w:lvl w:ilvl="6" w:tplc="B66821EC">
      <w:start w:val="1"/>
      <w:numFmt w:val="bullet"/>
      <w:lvlText w:val=""/>
      <w:lvlJc w:val="left"/>
      <w:pPr>
        <w:ind w:left="5040" w:hanging="360"/>
      </w:pPr>
      <w:rPr>
        <w:rFonts w:ascii="Symbol" w:hAnsi="Symbol" w:hint="default"/>
      </w:rPr>
    </w:lvl>
    <w:lvl w:ilvl="7" w:tplc="AEA802D0">
      <w:start w:val="1"/>
      <w:numFmt w:val="bullet"/>
      <w:lvlText w:val="o"/>
      <w:lvlJc w:val="left"/>
      <w:pPr>
        <w:ind w:left="5760" w:hanging="360"/>
      </w:pPr>
      <w:rPr>
        <w:rFonts w:ascii="Courier New" w:hAnsi="Courier New" w:hint="default"/>
      </w:rPr>
    </w:lvl>
    <w:lvl w:ilvl="8" w:tplc="5428E314">
      <w:start w:val="1"/>
      <w:numFmt w:val="bullet"/>
      <w:lvlText w:val=""/>
      <w:lvlJc w:val="left"/>
      <w:pPr>
        <w:ind w:left="6480" w:hanging="360"/>
      </w:pPr>
      <w:rPr>
        <w:rFonts w:ascii="Wingdings" w:hAnsi="Wingdings" w:hint="default"/>
      </w:rPr>
    </w:lvl>
  </w:abstractNum>
  <w:abstractNum w:abstractNumId="13" w15:restartNumberingAfterBreak="0">
    <w:nsid w:val="23AC2E10"/>
    <w:multiLevelType w:val="hybridMultilevel"/>
    <w:tmpl w:val="ED0A2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56B49"/>
    <w:multiLevelType w:val="hybridMultilevel"/>
    <w:tmpl w:val="F52E8DD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6A6EB1"/>
    <w:multiLevelType w:val="hybridMultilevel"/>
    <w:tmpl w:val="9FAE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B6547"/>
    <w:multiLevelType w:val="hybridMultilevel"/>
    <w:tmpl w:val="E73A5C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5117A7"/>
    <w:multiLevelType w:val="hybridMultilevel"/>
    <w:tmpl w:val="523C5FE6"/>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68141A"/>
    <w:multiLevelType w:val="hybridMultilevel"/>
    <w:tmpl w:val="A8A0A1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3955D8"/>
    <w:multiLevelType w:val="hybridMultilevel"/>
    <w:tmpl w:val="8482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B3026"/>
    <w:multiLevelType w:val="hybridMultilevel"/>
    <w:tmpl w:val="495019BE"/>
    <w:lvl w:ilvl="0" w:tplc="5E9AA57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0F5CA8"/>
    <w:multiLevelType w:val="hybridMultilevel"/>
    <w:tmpl w:val="0A747A0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080043"/>
    <w:multiLevelType w:val="hybridMultilevel"/>
    <w:tmpl w:val="4C5A69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481C3B"/>
    <w:multiLevelType w:val="hybridMultilevel"/>
    <w:tmpl w:val="8CB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04D1F"/>
    <w:multiLevelType w:val="hybridMultilevel"/>
    <w:tmpl w:val="9FAE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A76C71"/>
    <w:multiLevelType w:val="hybridMultilevel"/>
    <w:tmpl w:val="09F8E8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332E26"/>
    <w:multiLevelType w:val="hybridMultilevel"/>
    <w:tmpl w:val="B00C6B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0C6729"/>
    <w:multiLevelType w:val="hybridMultilevel"/>
    <w:tmpl w:val="EED4BB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79C6D45"/>
    <w:multiLevelType w:val="hybridMultilevel"/>
    <w:tmpl w:val="9EBAE8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A963B5"/>
    <w:multiLevelType w:val="hybridMultilevel"/>
    <w:tmpl w:val="D856D2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997959"/>
    <w:multiLevelType w:val="hybridMultilevel"/>
    <w:tmpl w:val="71900884"/>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3D758D"/>
    <w:multiLevelType w:val="hybridMultilevel"/>
    <w:tmpl w:val="F486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D4405"/>
    <w:multiLevelType w:val="hybridMultilevel"/>
    <w:tmpl w:val="5700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A2B62"/>
    <w:multiLevelType w:val="hybridMultilevel"/>
    <w:tmpl w:val="07382A3C"/>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831E8"/>
    <w:multiLevelType w:val="hybridMultilevel"/>
    <w:tmpl w:val="9FAE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FF372C"/>
    <w:multiLevelType w:val="hybridMultilevel"/>
    <w:tmpl w:val="82F2DF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DF6706"/>
    <w:multiLevelType w:val="hybridMultilevel"/>
    <w:tmpl w:val="5D1C93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9"/>
  </w:num>
  <w:num w:numId="3">
    <w:abstractNumId w:val="1"/>
  </w:num>
  <w:num w:numId="4">
    <w:abstractNumId w:val="3"/>
  </w:num>
  <w:num w:numId="5">
    <w:abstractNumId w:val="22"/>
  </w:num>
  <w:num w:numId="6">
    <w:abstractNumId w:val="6"/>
  </w:num>
  <w:num w:numId="7">
    <w:abstractNumId w:val="20"/>
  </w:num>
  <w:num w:numId="8">
    <w:abstractNumId w:val="31"/>
  </w:num>
  <w:num w:numId="9">
    <w:abstractNumId w:val="34"/>
  </w:num>
  <w:num w:numId="10">
    <w:abstractNumId w:val="33"/>
  </w:num>
  <w:num w:numId="11">
    <w:abstractNumId w:val="2"/>
  </w:num>
  <w:num w:numId="12">
    <w:abstractNumId w:val="19"/>
  </w:num>
  <w:num w:numId="13">
    <w:abstractNumId w:val="16"/>
  </w:num>
  <w:num w:numId="14">
    <w:abstractNumId w:val="21"/>
  </w:num>
  <w:num w:numId="15">
    <w:abstractNumId w:val="14"/>
  </w:num>
  <w:num w:numId="16">
    <w:abstractNumId w:val="15"/>
  </w:num>
  <w:num w:numId="17">
    <w:abstractNumId w:val="24"/>
  </w:num>
  <w:num w:numId="18">
    <w:abstractNumId w:val="25"/>
  </w:num>
  <w:num w:numId="19">
    <w:abstractNumId w:val="0"/>
  </w:num>
  <w:num w:numId="20">
    <w:abstractNumId w:val="12"/>
  </w:num>
  <w:num w:numId="21">
    <w:abstractNumId w:val="4"/>
  </w:num>
  <w:num w:numId="22">
    <w:abstractNumId w:val="28"/>
  </w:num>
  <w:num w:numId="23">
    <w:abstractNumId w:val="18"/>
  </w:num>
  <w:num w:numId="24">
    <w:abstractNumId w:val="7"/>
  </w:num>
  <w:num w:numId="25">
    <w:abstractNumId w:val="26"/>
  </w:num>
  <w:num w:numId="26">
    <w:abstractNumId w:val="11"/>
  </w:num>
  <w:num w:numId="27">
    <w:abstractNumId w:val="27"/>
  </w:num>
  <w:num w:numId="28">
    <w:abstractNumId w:val="32"/>
  </w:num>
  <w:num w:numId="29">
    <w:abstractNumId w:val="10"/>
  </w:num>
  <w:num w:numId="30">
    <w:abstractNumId w:val="35"/>
  </w:num>
  <w:num w:numId="31">
    <w:abstractNumId w:val="23"/>
  </w:num>
  <w:num w:numId="32">
    <w:abstractNumId w:val="30"/>
  </w:num>
  <w:num w:numId="33">
    <w:abstractNumId w:val="36"/>
  </w:num>
  <w:num w:numId="34">
    <w:abstractNumId w:val="17"/>
  </w:num>
  <w:num w:numId="35">
    <w:abstractNumId w:val="29"/>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F8"/>
    <w:rsid w:val="00001F56"/>
    <w:rsid w:val="0000395A"/>
    <w:rsid w:val="00013703"/>
    <w:rsid w:val="00026E82"/>
    <w:rsid w:val="0003037A"/>
    <w:rsid w:val="00030EBA"/>
    <w:rsid w:val="00052656"/>
    <w:rsid w:val="000560F1"/>
    <w:rsid w:val="00060534"/>
    <w:rsid w:val="00061ABD"/>
    <w:rsid w:val="00062E3E"/>
    <w:rsid w:val="00065BB5"/>
    <w:rsid w:val="0007070C"/>
    <w:rsid w:val="000730EF"/>
    <w:rsid w:val="00074BAE"/>
    <w:rsid w:val="000766D3"/>
    <w:rsid w:val="00080D16"/>
    <w:rsid w:val="00084F50"/>
    <w:rsid w:val="0008560D"/>
    <w:rsid w:val="00090D98"/>
    <w:rsid w:val="00092E4A"/>
    <w:rsid w:val="00097D10"/>
    <w:rsid w:val="000A3E05"/>
    <w:rsid w:val="000B0304"/>
    <w:rsid w:val="000B38E0"/>
    <w:rsid w:val="000B5844"/>
    <w:rsid w:val="000C553A"/>
    <w:rsid w:val="000C6D0A"/>
    <w:rsid w:val="000D15A1"/>
    <w:rsid w:val="000D3EB8"/>
    <w:rsid w:val="000E031C"/>
    <w:rsid w:val="000F080F"/>
    <w:rsid w:val="000F2980"/>
    <w:rsid w:val="001134E8"/>
    <w:rsid w:val="00114316"/>
    <w:rsid w:val="00134359"/>
    <w:rsid w:val="00140A49"/>
    <w:rsid w:val="0014431C"/>
    <w:rsid w:val="0014689E"/>
    <w:rsid w:val="001558E6"/>
    <w:rsid w:val="001608FB"/>
    <w:rsid w:val="00161952"/>
    <w:rsid w:val="00162B76"/>
    <w:rsid w:val="00165E1C"/>
    <w:rsid w:val="0017233F"/>
    <w:rsid w:val="001761CD"/>
    <w:rsid w:val="001763F4"/>
    <w:rsid w:val="00181116"/>
    <w:rsid w:val="001811AF"/>
    <w:rsid w:val="00184DBF"/>
    <w:rsid w:val="0018702E"/>
    <w:rsid w:val="00192EB2"/>
    <w:rsid w:val="0019455A"/>
    <w:rsid w:val="001A2518"/>
    <w:rsid w:val="001A43E3"/>
    <w:rsid w:val="001B0B16"/>
    <w:rsid w:val="001B4AE2"/>
    <w:rsid w:val="001C09D2"/>
    <w:rsid w:val="001C473E"/>
    <w:rsid w:val="001D50DA"/>
    <w:rsid w:val="001D68E7"/>
    <w:rsid w:val="001E14CB"/>
    <w:rsid w:val="001E19E8"/>
    <w:rsid w:val="001E4C80"/>
    <w:rsid w:val="001E6B56"/>
    <w:rsid w:val="001F4006"/>
    <w:rsid w:val="0022305B"/>
    <w:rsid w:val="00224891"/>
    <w:rsid w:val="00225E0D"/>
    <w:rsid w:val="00231EE8"/>
    <w:rsid w:val="00250865"/>
    <w:rsid w:val="0025689B"/>
    <w:rsid w:val="0025694E"/>
    <w:rsid w:val="00265FD3"/>
    <w:rsid w:val="00273F22"/>
    <w:rsid w:val="002753B3"/>
    <w:rsid w:val="00285866"/>
    <w:rsid w:val="00291B1C"/>
    <w:rsid w:val="00295E1C"/>
    <w:rsid w:val="00296D74"/>
    <w:rsid w:val="002A1178"/>
    <w:rsid w:val="002A75D1"/>
    <w:rsid w:val="002B2A87"/>
    <w:rsid w:val="002B6C86"/>
    <w:rsid w:val="002B7D64"/>
    <w:rsid w:val="002C18AA"/>
    <w:rsid w:val="002C625F"/>
    <w:rsid w:val="002D2471"/>
    <w:rsid w:val="002E26D2"/>
    <w:rsid w:val="002E2CEB"/>
    <w:rsid w:val="002E3B7D"/>
    <w:rsid w:val="002E6BFA"/>
    <w:rsid w:val="002E7C41"/>
    <w:rsid w:val="002F2358"/>
    <w:rsid w:val="002F58C4"/>
    <w:rsid w:val="002F6ADB"/>
    <w:rsid w:val="00303130"/>
    <w:rsid w:val="0032486C"/>
    <w:rsid w:val="00326694"/>
    <w:rsid w:val="00330C88"/>
    <w:rsid w:val="00333B7D"/>
    <w:rsid w:val="003353B6"/>
    <w:rsid w:val="003417CA"/>
    <w:rsid w:val="00345E22"/>
    <w:rsid w:val="00350BC4"/>
    <w:rsid w:val="00355BBB"/>
    <w:rsid w:val="00357C5F"/>
    <w:rsid w:val="00360ECF"/>
    <w:rsid w:val="00372227"/>
    <w:rsid w:val="00381B81"/>
    <w:rsid w:val="003845A4"/>
    <w:rsid w:val="00396746"/>
    <w:rsid w:val="003A2821"/>
    <w:rsid w:val="003A5393"/>
    <w:rsid w:val="003A6F9F"/>
    <w:rsid w:val="003B0851"/>
    <w:rsid w:val="003B6155"/>
    <w:rsid w:val="003C0273"/>
    <w:rsid w:val="003E2830"/>
    <w:rsid w:val="003E516B"/>
    <w:rsid w:val="003F5544"/>
    <w:rsid w:val="004024F2"/>
    <w:rsid w:val="0040294E"/>
    <w:rsid w:val="00414439"/>
    <w:rsid w:val="00416559"/>
    <w:rsid w:val="00420A44"/>
    <w:rsid w:val="00425436"/>
    <w:rsid w:val="00431D06"/>
    <w:rsid w:val="004352C4"/>
    <w:rsid w:val="0043538B"/>
    <w:rsid w:val="00437831"/>
    <w:rsid w:val="0044026B"/>
    <w:rsid w:val="004427A8"/>
    <w:rsid w:val="0044640F"/>
    <w:rsid w:val="00450FA1"/>
    <w:rsid w:val="00451E64"/>
    <w:rsid w:val="004531CB"/>
    <w:rsid w:val="00453FAD"/>
    <w:rsid w:val="00455263"/>
    <w:rsid w:val="00462413"/>
    <w:rsid w:val="0046242C"/>
    <w:rsid w:val="00466660"/>
    <w:rsid w:val="00474DBC"/>
    <w:rsid w:val="00475705"/>
    <w:rsid w:val="004771B5"/>
    <w:rsid w:val="00482CD3"/>
    <w:rsid w:val="00483031"/>
    <w:rsid w:val="00485930"/>
    <w:rsid w:val="0049177F"/>
    <w:rsid w:val="00494BC6"/>
    <w:rsid w:val="004962B8"/>
    <w:rsid w:val="004A13F8"/>
    <w:rsid w:val="004A4CCB"/>
    <w:rsid w:val="004B178A"/>
    <w:rsid w:val="004D31B9"/>
    <w:rsid w:val="004D4318"/>
    <w:rsid w:val="004E0A8F"/>
    <w:rsid w:val="004F098C"/>
    <w:rsid w:val="004F622A"/>
    <w:rsid w:val="005060D1"/>
    <w:rsid w:val="00511CCC"/>
    <w:rsid w:val="00515600"/>
    <w:rsid w:val="00521184"/>
    <w:rsid w:val="005249AB"/>
    <w:rsid w:val="00525204"/>
    <w:rsid w:val="00525C28"/>
    <w:rsid w:val="0052610B"/>
    <w:rsid w:val="00526435"/>
    <w:rsid w:val="00534BC3"/>
    <w:rsid w:val="0054703D"/>
    <w:rsid w:val="005576CE"/>
    <w:rsid w:val="00573B07"/>
    <w:rsid w:val="00580429"/>
    <w:rsid w:val="0059212E"/>
    <w:rsid w:val="005942F7"/>
    <w:rsid w:val="005A6472"/>
    <w:rsid w:val="005A705D"/>
    <w:rsid w:val="005B4814"/>
    <w:rsid w:val="005B5C89"/>
    <w:rsid w:val="005C1CC3"/>
    <w:rsid w:val="005C64CE"/>
    <w:rsid w:val="005D24B6"/>
    <w:rsid w:val="005E2ADA"/>
    <w:rsid w:val="005E622B"/>
    <w:rsid w:val="005E657D"/>
    <w:rsid w:val="005E7DB0"/>
    <w:rsid w:val="005F53BC"/>
    <w:rsid w:val="00607217"/>
    <w:rsid w:val="00614148"/>
    <w:rsid w:val="00616A87"/>
    <w:rsid w:val="00620AFF"/>
    <w:rsid w:val="0062367F"/>
    <w:rsid w:val="006377E2"/>
    <w:rsid w:val="006500C6"/>
    <w:rsid w:val="0065699C"/>
    <w:rsid w:val="0066152B"/>
    <w:rsid w:val="00667958"/>
    <w:rsid w:val="00670731"/>
    <w:rsid w:val="00671237"/>
    <w:rsid w:val="00680949"/>
    <w:rsid w:val="00681764"/>
    <w:rsid w:val="00695A05"/>
    <w:rsid w:val="00696328"/>
    <w:rsid w:val="006A19D1"/>
    <w:rsid w:val="006A3181"/>
    <w:rsid w:val="006B093C"/>
    <w:rsid w:val="006B2A98"/>
    <w:rsid w:val="006B3555"/>
    <w:rsid w:val="006C4955"/>
    <w:rsid w:val="006C57F3"/>
    <w:rsid w:val="006C7D4B"/>
    <w:rsid w:val="006D02FB"/>
    <w:rsid w:val="006E675D"/>
    <w:rsid w:val="006F3C84"/>
    <w:rsid w:val="00700135"/>
    <w:rsid w:val="00703E15"/>
    <w:rsid w:val="007055BF"/>
    <w:rsid w:val="00725636"/>
    <w:rsid w:val="00741C48"/>
    <w:rsid w:val="0074234D"/>
    <w:rsid w:val="00752184"/>
    <w:rsid w:val="00764D07"/>
    <w:rsid w:val="00771C04"/>
    <w:rsid w:val="0077270D"/>
    <w:rsid w:val="00772C74"/>
    <w:rsid w:val="007753BC"/>
    <w:rsid w:val="00775574"/>
    <w:rsid w:val="007766FC"/>
    <w:rsid w:val="00782535"/>
    <w:rsid w:val="007900F7"/>
    <w:rsid w:val="007B26CC"/>
    <w:rsid w:val="007C231F"/>
    <w:rsid w:val="007C34DE"/>
    <w:rsid w:val="007C485E"/>
    <w:rsid w:val="007D42F8"/>
    <w:rsid w:val="007D7CB0"/>
    <w:rsid w:val="007E0886"/>
    <w:rsid w:val="007E1842"/>
    <w:rsid w:val="007F0E5A"/>
    <w:rsid w:val="00802C79"/>
    <w:rsid w:val="00804661"/>
    <w:rsid w:val="00805AAD"/>
    <w:rsid w:val="0081185F"/>
    <w:rsid w:val="008230A3"/>
    <w:rsid w:val="00835E19"/>
    <w:rsid w:val="0083651D"/>
    <w:rsid w:val="00844229"/>
    <w:rsid w:val="00845EB6"/>
    <w:rsid w:val="00850E6B"/>
    <w:rsid w:val="008521D9"/>
    <w:rsid w:val="00854057"/>
    <w:rsid w:val="00857D90"/>
    <w:rsid w:val="00867ABC"/>
    <w:rsid w:val="00871AF4"/>
    <w:rsid w:val="00882109"/>
    <w:rsid w:val="00882517"/>
    <w:rsid w:val="00884D45"/>
    <w:rsid w:val="008926AC"/>
    <w:rsid w:val="0089354E"/>
    <w:rsid w:val="00896650"/>
    <w:rsid w:val="00897539"/>
    <w:rsid w:val="008A405A"/>
    <w:rsid w:val="008A509D"/>
    <w:rsid w:val="008A6CAE"/>
    <w:rsid w:val="008B684A"/>
    <w:rsid w:val="008B6FBC"/>
    <w:rsid w:val="008D0ACA"/>
    <w:rsid w:val="008D785E"/>
    <w:rsid w:val="008E13DE"/>
    <w:rsid w:val="008E1CFB"/>
    <w:rsid w:val="008E5F46"/>
    <w:rsid w:val="008F0E16"/>
    <w:rsid w:val="008F63A7"/>
    <w:rsid w:val="00900311"/>
    <w:rsid w:val="009035B6"/>
    <w:rsid w:val="00912EB9"/>
    <w:rsid w:val="00917717"/>
    <w:rsid w:val="009243AA"/>
    <w:rsid w:val="009274F0"/>
    <w:rsid w:val="0093063F"/>
    <w:rsid w:val="00934EC3"/>
    <w:rsid w:val="00941D0A"/>
    <w:rsid w:val="00942AEE"/>
    <w:rsid w:val="00946462"/>
    <w:rsid w:val="00955894"/>
    <w:rsid w:val="0096176B"/>
    <w:rsid w:val="00964EBA"/>
    <w:rsid w:val="0099531C"/>
    <w:rsid w:val="009A078D"/>
    <w:rsid w:val="009B337C"/>
    <w:rsid w:val="009B63CF"/>
    <w:rsid w:val="009B6422"/>
    <w:rsid w:val="009C46F7"/>
    <w:rsid w:val="009C52E6"/>
    <w:rsid w:val="009C6273"/>
    <w:rsid w:val="009C7AED"/>
    <w:rsid w:val="009D4594"/>
    <w:rsid w:val="009D58A9"/>
    <w:rsid w:val="009E2ED9"/>
    <w:rsid w:val="009E4A22"/>
    <w:rsid w:val="009F174B"/>
    <w:rsid w:val="009F2707"/>
    <w:rsid w:val="00A0318E"/>
    <w:rsid w:val="00A03E5E"/>
    <w:rsid w:val="00A0459E"/>
    <w:rsid w:val="00A0483B"/>
    <w:rsid w:val="00A151D1"/>
    <w:rsid w:val="00A15919"/>
    <w:rsid w:val="00A1716F"/>
    <w:rsid w:val="00A24CF4"/>
    <w:rsid w:val="00A303FF"/>
    <w:rsid w:val="00A316C6"/>
    <w:rsid w:val="00A34437"/>
    <w:rsid w:val="00A4078C"/>
    <w:rsid w:val="00A5032E"/>
    <w:rsid w:val="00A65A95"/>
    <w:rsid w:val="00A72A1C"/>
    <w:rsid w:val="00A72B2F"/>
    <w:rsid w:val="00A764DB"/>
    <w:rsid w:val="00A96A11"/>
    <w:rsid w:val="00AA1A8E"/>
    <w:rsid w:val="00AB220F"/>
    <w:rsid w:val="00AB7A85"/>
    <w:rsid w:val="00AC20D3"/>
    <w:rsid w:val="00AC24B1"/>
    <w:rsid w:val="00AC7FB7"/>
    <w:rsid w:val="00AD006B"/>
    <w:rsid w:val="00AD6FB5"/>
    <w:rsid w:val="00AE24CD"/>
    <w:rsid w:val="00AE355E"/>
    <w:rsid w:val="00AF5592"/>
    <w:rsid w:val="00B00F40"/>
    <w:rsid w:val="00B03238"/>
    <w:rsid w:val="00B0564C"/>
    <w:rsid w:val="00B06A04"/>
    <w:rsid w:val="00B06A3F"/>
    <w:rsid w:val="00B13C89"/>
    <w:rsid w:val="00B15229"/>
    <w:rsid w:val="00B30468"/>
    <w:rsid w:val="00B56347"/>
    <w:rsid w:val="00B57BCB"/>
    <w:rsid w:val="00B8572E"/>
    <w:rsid w:val="00B864F3"/>
    <w:rsid w:val="00B94D84"/>
    <w:rsid w:val="00BB42F6"/>
    <w:rsid w:val="00BB780E"/>
    <w:rsid w:val="00BC30B4"/>
    <w:rsid w:val="00BD3D2F"/>
    <w:rsid w:val="00BD4A57"/>
    <w:rsid w:val="00BE00B9"/>
    <w:rsid w:val="00BE5EBA"/>
    <w:rsid w:val="00BE7B25"/>
    <w:rsid w:val="00BF4DA2"/>
    <w:rsid w:val="00BF4DBA"/>
    <w:rsid w:val="00C023FF"/>
    <w:rsid w:val="00C03A84"/>
    <w:rsid w:val="00C043ED"/>
    <w:rsid w:val="00C072C7"/>
    <w:rsid w:val="00C07EE2"/>
    <w:rsid w:val="00C10BDA"/>
    <w:rsid w:val="00C14E41"/>
    <w:rsid w:val="00C200B1"/>
    <w:rsid w:val="00C2586E"/>
    <w:rsid w:val="00C30A06"/>
    <w:rsid w:val="00C4167D"/>
    <w:rsid w:val="00C479E4"/>
    <w:rsid w:val="00C55B73"/>
    <w:rsid w:val="00C577FD"/>
    <w:rsid w:val="00C57DE2"/>
    <w:rsid w:val="00C60EFC"/>
    <w:rsid w:val="00C650C3"/>
    <w:rsid w:val="00C65779"/>
    <w:rsid w:val="00C91C58"/>
    <w:rsid w:val="00C93E28"/>
    <w:rsid w:val="00C95D71"/>
    <w:rsid w:val="00CA0125"/>
    <w:rsid w:val="00CA18C2"/>
    <w:rsid w:val="00CA5B5C"/>
    <w:rsid w:val="00CA79A9"/>
    <w:rsid w:val="00CB4498"/>
    <w:rsid w:val="00CD4FF1"/>
    <w:rsid w:val="00CE575D"/>
    <w:rsid w:val="00CF13C3"/>
    <w:rsid w:val="00D12877"/>
    <w:rsid w:val="00D157AC"/>
    <w:rsid w:val="00D31151"/>
    <w:rsid w:val="00D323FD"/>
    <w:rsid w:val="00D505D3"/>
    <w:rsid w:val="00D52E19"/>
    <w:rsid w:val="00D56971"/>
    <w:rsid w:val="00D57CA0"/>
    <w:rsid w:val="00D719A8"/>
    <w:rsid w:val="00D8286D"/>
    <w:rsid w:val="00D95DF2"/>
    <w:rsid w:val="00D95DF7"/>
    <w:rsid w:val="00DA121E"/>
    <w:rsid w:val="00DA152F"/>
    <w:rsid w:val="00DA7C38"/>
    <w:rsid w:val="00DB2EBB"/>
    <w:rsid w:val="00DF1422"/>
    <w:rsid w:val="00DF1C75"/>
    <w:rsid w:val="00E044E0"/>
    <w:rsid w:val="00E063A1"/>
    <w:rsid w:val="00E063BD"/>
    <w:rsid w:val="00E0759B"/>
    <w:rsid w:val="00E27952"/>
    <w:rsid w:val="00E33B32"/>
    <w:rsid w:val="00E37B4C"/>
    <w:rsid w:val="00E41216"/>
    <w:rsid w:val="00E478C9"/>
    <w:rsid w:val="00E56E28"/>
    <w:rsid w:val="00E60E44"/>
    <w:rsid w:val="00E6341F"/>
    <w:rsid w:val="00E777A8"/>
    <w:rsid w:val="00E82EEA"/>
    <w:rsid w:val="00EA1B63"/>
    <w:rsid w:val="00EA1CC5"/>
    <w:rsid w:val="00EA4D71"/>
    <w:rsid w:val="00EB3F78"/>
    <w:rsid w:val="00EC288B"/>
    <w:rsid w:val="00EC343E"/>
    <w:rsid w:val="00ED5FC9"/>
    <w:rsid w:val="00ED6302"/>
    <w:rsid w:val="00EE6708"/>
    <w:rsid w:val="00EF169C"/>
    <w:rsid w:val="00F12967"/>
    <w:rsid w:val="00F1345D"/>
    <w:rsid w:val="00F140F3"/>
    <w:rsid w:val="00F230DB"/>
    <w:rsid w:val="00F268D0"/>
    <w:rsid w:val="00F31B10"/>
    <w:rsid w:val="00F3578E"/>
    <w:rsid w:val="00F427B8"/>
    <w:rsid w:val="00F62C91"/>
    <w:rsid w:val="00F6584A"/>
    <w:rsid w:val="00F744A7"/>
    <w:rsid w:val="00F778FC"/>
    <w:rsid w:val="00F8711B"/>
    <w:rsid w:val="00FA16FC"/>
    <w:rsid w:val="00FA4C97"/>
    <w:rsid w:val="00FB125D"/>
    <w:rsid w:val="00FC13C9"/>
    <w:rsid w:val="00FC32F6"/>
    <w:rsid w:val="00FD21D7"/>
    <w:rsid w:val="00FD2612"/>
    <w:rsid w:val="00FD4E48"/>
    <w:rsid w:val="00FD7267"/>
    <w:rsid w:val="00FE2DE0"/>
    <w:rsid w:val="00FE3F0A"/>
    <w:rsid w:val="00FE430B"/>
    <w:rsid w:val="00FE739A"/>
    <w:rsid w:val="00FF0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6C15"/>
  <w15:chartTrackingRefBased/>
  <w15:docId w15:val="{149079B2-80FD-4717-90E3-C6F44E0B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2F8"/>
    <w:pPr>
      <w:ind w:left="720"/>
      <w:contextualSpacing/>
    </w:pPr>
  </w:style>
  <w:style w:type="table" w:styleId="TableGrid">
    <w:name w:val="Table Grid"/>
    <w:basedOn w:val="TableNormal"/>
    <w:uiPriority w:val="39"/>
    <w:rsid w:val="007D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30B"/>
    <w:rPr>
      <w:color w:val="0563C1"/>
      <w:u w:val="single"/>
    </w:rPr>
  </w:style>
  <w:style w:type="character" w:styleId="UnresolvedMention">
    <w:name w:val="Unresolved Mention"/>
    <w:basedOn w:val="DefaultParagraphFont"/>
    <w:uiPriority w:val="99"/>
    <w:semiHidden/>
    <w:unhideWhenUsed/>
    <w:rsid w:val="00250865"/>
    <w:rPr>
      <w:color w:val="605E5C"/>
      <w:shd w:val="clear" w:color="auto" w:fill="E1DFDD"/>
    </w:rPr>
  </w:style>
  <w:style w:type="paragraph" w:customStyle="1" w:styleId="paragraph">
    <w:name w:val="paragraph"/>
    <w:basedOn w:val="Normal"/>
    <w:rsid w:val="00EC3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343E"/>
  </w:style>
  <w:style w:type="character" w:customStyle="1" w:styleId="eop">
    <w:name w:val="eop"/>
    <w:basedOn w:val="DefaultParagraphFont"/>
    <w:rsid w:val="00EC343E"/>
  </w:style>
  <w:style w:type="paragraph" w:styleId="Header">
    <w:name w:val="header"/>
    <w:basedOn w:val="Normal"/>
    <w:link w:val="HeaderChar"/>
    <w:uiPriority w:val="99"/>
    <w:unhideWhenUsed/>
    <w:rsid w:val="0044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40F"/>
  </w:style>
  <w:style w:type="paragraph" w:styleId="Footer">
    <w:name w:val="footer"/>
    <w:basedOn w:val="Normal"/>
    <w:link w:val="FooterChar"/>
    <w:uiPriority w:val="99"/>
    <w:unhideWhenUsed/>
    <w:rsid w:val="0044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40F"/>
  </w:style>
  <w:style w:type="paragraph" w:styleId="FootnoteText">
    <w:name w:val="footnote text"/>
    <w:basedOn w:val="Normal"/>
    <w:link w:val="FootnoteTextChar"/>
    <w:uiPriority w:val="99"/>
    <w:semiHidden/>
    <w:unhideWhenUsed/>
    <w:rsid w:val="00FE7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9A"/>
    <w:rPr>
      <w:sz w:val="20"/>
      <w:szCs w:val="20"/>
    </w:rPr>
  </w:style>
  <w:style w:type="character" w:styleId="FootnoteReference">
    <w:name w:val="footnote reference"/>
    <w:basedOn w:val="DefaultParagraphFont"/>
    <w:uiPriority w:val="99"/>
    <w:semiHidden/>
    <w:unhideWhenUsed/>
    <w:rsid w:val="00FE739A"/>
    <w:rPr>
      <w:vertAlign w:val="superscript"/>
    </w:rPr>
  </w:style>
  <w:style w:type="paragraph" w:customStyle="1" w:styleId="xmsonormal">
    <w:name w:val="x_msonormal"/>
    <w:basedOn w:val="Normal"/>
    <w:rsid w:val="00871A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C20D3"/>
    <w:rPr>
      <w:sz w:val="16"/>
      <w:szCs w:val="16"/>
    </w:rPr>
  </w:style>
  <w:style w:type="paragraph" w:styleId="CommentText">
    <w:name w:val="annotation text"/>
    <w:basedOn w:val="Normal"/>
    <w:link w:val="CommentTextChar"/>
    <w:uiPriority w:val="99"/>
    <w:semiHidden/>
    <w:unhideWhenUsed/>
    <w:rsid w:val="00AC20D3"/>
    <w:pPr>
      <w:spacing w:line="240" w:lineRule="auto"/>
    </w:pPr>
    <w:rPr>
      <w:sz w:val="20"/>
      <w:szCs w:val="20"/>
    </w:rPr>
  </w:style>
  <w:style w:type="character" w:customStyle="1" w:styleId="CommentTextChar">
    <w:name w:val="Comment Text Char"/>
    <w:basedOn w:val="DefaultParagraphFont"/>
    <w:link w:val="CommentText"/>
    <w:uiPriority w:val="99"/>
    <w:semiHidden/>
    <w:rsid w:val="00AC20D3"/>
    <w:rPr>
      <w:sz w:val="20"/>
      <w:szCs w:val="20"/>
    </w:rPr>
  </w:style>
  <w:style w:type="paragraph" w:styleId="CommentSubject">
    <w:name w:val="annotation subject"/>
    <w:basedOn w:val="CommentText"/>
    <w:next w:val="CommentText"/>
    <w:link w:val="CommentSubjectChar"/>
    <w:uiPriority w:val="99"/>
    <w:semiHidden/>
    <w:unhideWhenUsed/>
    <w:rsid w:val="00AC20D3"/>
    <w:rPr>
      <w:b/>
      <w:bCs/>
    </w:rPr>
  </w:style>
  <w:style w:type="character" w:customStyle="1" w:styleId="CommentSubjectChar">
    <w:name w:val="Comment Subject Char"/>
    <w:basedOn w:val="CommentTextChar"/>
    <w:link w:val="CommentSubject"/>
    <w:uiPriority w:val="99"/>
    <w:semiHidden/>
    <w:rsid w:val="00AC20D3"/>
    <w:rPr>
      <w:b/>
      <w:bCs/>
      <w:sz w:val="20"/>
      <w:szCs w:val="20"/>
    </w:rPr>
  </w:style>
  <w:style w:type="paragraph" w:styleId="BalloonText">
    <w:name w:val="Balloon Text"/>
    <w:basedOn w:val="Normal"/>
    <w:link w:val="BalloonTextChar"/>
    <w:uiPriority w:val="99"/>
    <w:semiHidden/>
    <w:unhideWhenUsed/>
    <w:rsid w:val="00AC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20762">
      <w:bodyDiv w:val="1"/>
      <w:marLeft w:val="0"/>
      <w:marRight w:val="0"/>
      <w:marTop w:val="0"/>
      <w:marBottom w:val="0"/>
      <w:divBdr>
        <w:top w:val="none" w:sz="0" w:space="0" w:color="auto"/>
        <w:left w:val="none" w:sz="0" w:space="0" w:color="auto"/>
        <w:bottom w:val="none" w:sz="0" w:space="0" w:color="auto"/>
        <w:right w:val="none" w:sz="0" w:space="0" w:color="auto"/>
      </w:divBdr>
    </w:div>
    <w:div w:id="1653027054">
      <w:bodyDiv w:val="1"/>
      <w:marLeft w:val="0"/>
      <w:marRight w:val="0"/>
      <w:marTop w:val="0"/>
      <w:marBottom w:val="0"/>
      <w:divBdr>
        <w:top w:val="none" w:sz="0" w:space="0" w:color="auto"/>
        <w:left w:val="none" w:sz="0" w:space="0" w:color="auto"/>
        <w:bottom w:val="none" w:sz="0" w:space="0" w:color="auto"/>
        <w:right w:val="none" w:sz="0" w:space="0" w:color="auto"/>
      </w:divBdr>
    </w:div>
    <w:div w:id="20252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uminate.prospects.ac.uk/what-do-graduates-do"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rospects.ac.uk/careers-advice/what-can-i-do-with-my-degree"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hudac.sharepoint.com/sites/U92-INT-Employabili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dac.sharepoint.com/sites/U92-INT-EmployabilityResources"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DC53F0-6710-4D69-BA7A-478A2401DC0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GB"/>
        </a:p>
      </dgm:t>
    </dgm:pt>
    <dgm:pt modelId="{84B3B6F0-D4DB-4C6C-B361-486F67CB9F9B}">
      <dgm:prSet phldrT="[Text]" custT="1"/>
      <dgm:spPr/>
      <dgm:t>
        <a:bodyPr/>
        <a:lstStyle/>
        <a:p>
          <a:r>
            <a:rPr lang="en-GB" sz="1900"/>
            <a:t>Signposting</a:t>
          </a:r>
        </a:p>
        <a:p>
          <a:r>
            <a:rPr lang="en-GB" sz="1200"/>
            <a:t>Raising awareness</a:t>
          </a:r>
        </a:p>
      </dgm:t>
    </dgm:pt>
    <dgm:pt modelId="{CED204B3-419C-433D-9C7B-EC44707CF9D5}" type="parTrans" cxnId="{E042538C-469B-49FA-BA35-24BEDCCBD304}">
      <dgm:prSet/>
      <dgm:spPr/>
      <dgm:t>
        <a:bodyPr/>
        <a:lstStyle/>
        <a:p>
          <a:endParaRPr lang="en-GB"/>
        </a:p>
      </dgm:t>
    </dgm:pt>
    <dgm:pt modelId="{BC85BA1C-7929-48A7-BA7D-AA1CE9A1120E}" type="sibTrans" cxnId="{E042538C-469B-49FA-BA35-24BEDCCBD304}">
      <dgm:prSet/>
      <dgm:spPr/>
      <dgm:t>
        <a:bodyPr/>
        <a:lstStyle/>
        <a:p>
          <a:endParaRPr lang="en-GB"/>
        </a:p>
      </dgm:t>
    </dgm:pt>
    <dgm:pt modelId="{4CC9771F-066A-47B1-9932-588470A3925C}">
      <dgm:prSet phldrT="[Text]" custT="1"/>
      <dgm:spPr>
        <a:solidFill>
          <a:srgbClr val="00B0F0">
            <a:alpha val="50000"/>
          </a:srgbClr>
        </a:solidFill>
      </dgm:spPr>
      <dgm:t>
        <a:bodyPr/>
        <a:lstStyle/>
        <a:p>
          <a:r>
            <a:rPr lang="en-GB" sz="2000"/>
            <a:t>Targeted</a:t>
          </a:r>
        </a:p>
        <a:p>
          <a:r>
            <a:rPr lang="en-GB" sz="1200"/>
            <a:t>Extra support </a:t>
          </a:r>
        </a:p>
      </dgm:t>
    </dgm:pt>
    <dgm:pt modelId="{AF2D8115-CA22-423E-A50D-B264190FCAFC}" type="parTrans" cxnId="{52466581-4C57-4186-8B0B-1069C85AC95D}">
      <dgm:prSet/>
      <dgm:spPr/>
      <dgm:t>
        <a:bodyPr/>
        <a:lstStyle/>
        <a:p>
          <a:endParaRPr lang="en-GB"/>
        </a:p>
      </dgm:t>
    </dgm:pt>
    <dgm:pt modelId="{7AF1606C-9C4F-4C06-B843-14B9158D6A7E}" type="sibTrans" cxnId="{52466581-4C57-4186-8B0B-1069C85AC95D}">
      <dgm:prSet/>
      <dgm:spPr/>
      <dgm:t>
        <a:bodyPr/>
        <a:lstStyle/>
        <a:p>
          <a:endParaRPr lang="en-GB"/>
        </a:p>
      </dgm:t>
    </dgm:pt>
    <dgm:pt modelId="{F6581195-7056-4271-B165-017C44B2AFA7}">
      <dgm:prSet phldrT="[Text]" custT="1"/>
      <dgm:spPr>
        <a:solidFill>
          <a:srgbClr val="DB2DAD">
            <a:alpha val="50000"/>
          </a:srgbClr>
        </a:solidFill>
      </dgm:spPr>
      <dgm:t>
        <a:bodyPr/>
        <a:lstStyle/>
        <a:p>
          <a:r>
            <a:rPr lang="en-GB" sz="2400"/>
            <a:t>Embedded</a:t>
          </a:r>
        </a:p>
        <a:p>
          <a:r>
            <a:rPr lang="en-GB" sz="1200"/>
            <a:t>Indepth, in modules</a:t>
          </a:r>
        </a:p>
      </dgm:t>
    </dgm:pt>
    <dgm:pt modelId="{0803B8B0-8E8E-43EF-B2BE-80004F3511BC}" type="parTrans" cxnId="{40B61ECD-673B-4FD5-90CB-90B96E5C4A7F}">
      <dgm:prSet/>
      <dgm:spPr/>
      <dgm:t>
        <a:bodyPr/>
        <a:lstStyle/>
        <a:p>
          <a:endParaRPr lang="en-GB"/>
        </a:p>
      </dgm:t>
    </dgm:pt>
    <dgm:pt modelId="{33796878-6724-4F3E-8360-E3DCD3FACC88}" type="sibTrans" cxnId="{40B61ECD-673B-4FD5-90CB-90B96E5C4A7F}">
      <dgm:prSet/>
      <dgm:spPr/>
      <dgm:t>
        <a:bodyPr/>
        <a:lstStyle/>
        <a:p>
          <a:endParaRPr lang="en-GB"/>
        </a:p>
      </dgm:t>
    </dgm:pt>
    <dgm:pt modelId="{EB970A03-77AE-4978-9586-BE3E60B378C2}" type="pres">
      <dgm:prSet presAssocID="{9CDC53F0-6710-4D69-BA7A-478A2401DC02}" presName="Name0" presStyleCnt="0">
        <dgm:presLayoutVars>
          <dgm:dir/>
          <dgm:resizeHandles val="exact"/>
        </dgm:presLayoutVars>
      </dgm:prSet>
      <dgm:spPr/>
    </dgm:pt>
    <dgm:pt modelId="{EE725EFD-853C-4D6E-8BEE-33C6E22DB176}" type="pres">
      <dgm:prSet presAssocID="{84B3B6F0-D4DB-4C6C-B361-486F67CB9F9B}" presName="Name5" presStyleLbl="vennNode1" presStyleIdx="0" presStyleCnt="3">
        <dgm:presLayoutVars>
          <dgm:bulletEnabled val="1"/>
        </dgm:presLayoutVars>
      </dgm:prSet>
      <dgm:spPr/>
    </dgm:pt>
    <dgm:pt modelId="{0BC00794-446F-4678-8BE9-D44DF62BEF9C}" type="pres">
      <dgm:prSet presAssocID="{BC85BA1C-7929-48A7-BA7D-AA1CE9A1120E}" presName="space" presStyleCnt="0"/>
      <dgm:spPr/>
    </dgm:pt>
    <dgm:pt modelId="{CFEAAE7B-0DF0-46B7-B42D-BE620315FA7A}" type="pres">
      <dgm:prSet presAssocID="{4CC9771F-066A-47B1-9932-588470A3925C}" presName="Name5" presStyleLbl="vennNode1" presStyleIdx="1" presStyleCnt="3">
        <dgm:presLayoutVars>
          <dgm:bulletEnabled val="1"/>
        </dgm:presLayoutVars>
      </dgm:prSet>
      <dgm:spPr/>
    </dgm:pt>
    <dgm:pt modelId="{162122E1-104C-4632-BB01-C461E23BCCB2}" type="pres">
      <dgm:prSet presAssocID="{7AF1606C-9C4F-4C06-B843-14B9158D6A7E}" presName="space" presStyleCnt="0"/>
      <dgm:spPr/>
    </dgm:pt>
    <dgm:pt modelId="{1317F025-6770-4B21-A1DF-3953BD293C85}" type="pres">
      <dgm:prSet presAssocID="{F6581195-7056-4271-B165-017C44B2AFA7}" presName="Name5" presStyleLbl="vennNode1" presStyleIdx="2" presStyleCnt="3">
        <dgm:presLayoutVars>
          <dgm:bulletEnabled val="1"/>
        </dgm:presLayoutVars>
      </dgm:prSet>
      <dgm:spPr/>
    </dgm:pt>
  </dgm:ptLst>
  <dgm:cxnLst>
    <dgm:cxn modelId="{9A7DF55E-63AB-4508-B12C-36399568BAAD}" type="presOf" srcId="{F6581195-7056-4271-B165-017C44B2AFA7}" destId="{1317F025-6770-4B21-A1DF-3953BD293C85}" srcOrd="0" destOrd="0" presId="urn:microsoft.com/office/officeart/2005/8/layout/venn3"/>
    <dgm:cxn modelId="{52466581-4C57-4186-8B0B-1069C85AC95D}" srcId="{9CDC53F0-6710-4D69-BA7A-478A2401DC02}" destId="{4CC9771F-066A-47B1-9932-588470A3925C}" srcOrd="1" destOrd="0" parTransId="{AF2D8115-CA22-423E-A50D-B264190FCAFC}" sibTransId="{7AF1606C-9C4F-4C06-B843-14B9158D6A7E}"/>
    <dgm:cxn modelId="{E042538C-469B-49FA-BA35-24BEDCCBD304}" srcId="{9CDC53F0-6710-4D69-BA7A-478A2401DC02}" destId="{84B3B6F0-D4DB-4C6C-B361-486F67CB9F9B}" srcOrd="0" destOrd="0" parTransId="{CED204B3-419C-433D-9C7B-EC44707CF9D5}" sibTransId="{BC85BA1C-7929-48A7-BA7D-AA1CE9A1120E}"/>
    <dgm:cxn modelId="{3EC38792-96E1-425E-BA95-1DC871CDC991}" type="presOf" srcId="{9CDC53F0-6710-4D69-BA7A-478A2401DC02}" destId="{EB970A03-77AE-4978-9586-BE3E60B378C2}" srcOrd="0" destOrd="0" presId="urn:microsoft.com/office/officeart/2005/8/layout/venn3"/>
    <dgm:cxn modelId="{5D4A17A8-EF62-4EEE-918D-5784BF7625F7}" type="presOf" srcId="{84B3B6F0-D4DB-4C6C-B361-486F67CB9F9B}" destId="{EE725EFD-853C-4D6E-8BEE-33C6E22DB176}" srcOrd="0" destOrd="0" presId="urn:microsoft.com/office/officeart/2005/8/layout/venn3"/>
    <dgm:cxn modelId="{3C96B8BB-67AE-46C6-834D-722D06217ADB}" type="presOf" srcId="{4CC9771F-066A-47B1-9932-588470A3925C}" destId="{CFEAAE7B-0DF0-46B7-B42D-BE620315FA7A}" srcOrd="0" destOrd="0" presId="urn:microsoft.com/office/officeart/2005/8/layout/venn3"/>
    <dgm:cxn modelId="{40B61ECD-673B-4FD5-90CB-90B96E5C4A7F}" srcId="{9CDC53F0-6710-4D69-BA7A-478A2401DC02}" destId="{F6581195-7056-4271-B165-017C44B2AFA7}" srcOrd="2" destOrd="0" parTransId="{0803B8B0-8E8E-43EF-B2BE-80004F3511BC}" sibTransId="{33796878-6724-4F3E-8360-E3DCD3FACC88}"/>
    <dgm:cxn modelId="{C9594BF3-F4C6-4694-B002-73F2FEB0F04A}" type="presParOf" srcId="{EB970A03-77AE-4978-9586-BE3E60B378C2}" destId="{EE725EFD-853C-4D6E-8BEE-33C6E22DB176}" srcOrd="0" destOrd="0" presId="urn:microsoft.com/office/officeart/2005/8/layout/venn3"/>
    <dgm:cxn modelId="{C77382D5-F684-4555-A3DC-8AF444B958E6}" type="presParOf" srcId="{EB970A03-77AE-4978-9586-BE3E60B378C2}" destId="{0BC00794-446F-4678-8BE9-D44DF62BEF9C}" srcOrd="1" destOrd="0" presId="urn:microsoft.com/office/officeart/2005/8/layout/venn3"/>
    <dgm:cxn modelId="{B6F305A6-A07D-409F-9B5F-88FB58BBCB9D}" type="presParOf" srcId="{EB970A03-77AE-4978-9586-BE3E60B378C2}" destId="{CFEAAE7B-0DF0-46B7-B42D-BE620315FA7A}" srcOrd="2" destOrd="0" presId="urn:microsoft.com/office/officeart/2005/8/layout/venn3"/>
    <dgm:cxn modelId="{CF5B65F2-ED0A-4FFD-B850-D789838D2E65}" type="presParOf" srcId="{EB970A03-77AE-4978-9586-BE3E60B378C2}" destId="{162122E1-104C-4632-BB01-C461E23BCCB2}" srcOrd="3" destOrd="0" presId="urn:microsoft.com/office/officeart/2005/8/layout/venn3"/>
    <dgm:cxn modelId="{F140BFC4-7130-43B5-8EC1-3FF593B2646A}" type="presParOf" srcId="{EB970A03-77AE-4978-9586-BE3E60B378C2}" destId="{1317F025-6770-4B21-A1DF-3953BD293C85}" srcOrd="4" destOrd="0" presId="urn:microsoft.com/office/officeart/2005/8/layout/ven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725EFD-853C-4D6E-8BEE-33C6E22DB176}">
      <dsp:nvSpPr>
        <dsp:cNvPr id="0" name=""/>
        <dsp:cNvSpPr/>
      </dsp:nvSpPr>
      <dsp:spPr>
        <a:xfrm>
          <a:off x="615713" y="885"/>
          <a:ext cx="2255653" cy="225565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4136" tIns="24130" rIns="124136" bIns="24130" numCol="1" spcCol="1270" anchor="ctr" anchorCtr="0">
          <a:noAutofit/>
        </a:bodyPr>
        <a:lstStyle/>
        <a:p>
          <a:pPr marL="0" lvl="0" indent="0" algn="ctr" defTabSz="844550">
            <a:lnSpc>
              <a:spcPct val="90000"/>
            </a:lnSpc>
            <a:spcBef>
              <a:spcPct val="0"/>
            </a:spcBef>
            <a:spcAft>
              <a:spcPct val="35000"/>
            </a:spcAft>
            <a:buNone/>
          </a:pPr>
          <a:r>
            <a:rPr lang="en-GB" sz="1900" kern="1200"/>
            <a:t>Signposting</a:t>
          </a:r>
        </a:p>
        <a:p>
          <a:pPr marL="0" lvl="0" indent="0" algn="ctr" defTabSz="844550">
            <a:lnSpc>
              <a:spcPct val="90000"/>
            </a:lnSpc>
            <a:spcBef>
              <a:spcPct val="0"/>
            </a:spcBef>
            <a:spcAft>
              <a:spcPct val="35000"/>
            </a:spcAft>
            <a:buNone/>
          </a:pPr>
          <a:r>
            <a:rPr lang="en-GB" sz="1200" kern="1200"/>
            <a:t>Raising awareness</a:t>
          </a:r>
        </a:p>
      </dsp:txBody>
      <dsp:txXfrm>
        <a:off x="946046" y="331218"/>
        <a:ext cx="1594987" cy="1594987"/>
      </dsp:txXfrm>
    </dsp:sp>
    <dsp:sp modelId="{CFEAAE7B-0DF0-46B7-B42D-BE620315FA7A}">
      <dsp:nvSpPr>
        <dsp:cNvPr id="0" name=""/>
        <dsp:cNvSpPr/>
      </dsp:nvSpPr>
      <dsp:spPr>
        <a:xfrm>
          <a:off x="2420235" y="885"/>
          <a:ext cx="2255653" cy="2255653"/>
        </a:xfrm>
        <a:prstGeom prst="ellipse">
          <a:avLst/>
        </a:prstGeom>
        <a:solidFill>
          <a:srgbClr val="00B0F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4136" tIns="25400" rIns="124136" bIns="25400" numCol="1" spcCol="1270" anchor="ctr" anchorCtr="0">
          <a:noAutofit/>
        </a:bodyPr>
        <a:lstStyle/>
        <a:p>
          <a:pPr marL="0" lvl="0" indent="0" algn="ctr" defTabSz="889000">
            <a:lnSpc>
              <a:spcPct val="90000"/>
            </a:lnSpc>
            <a:spcBef>
              <a:spcPct val="0"/>
            </a:spcBef>
            <a:spcAft>
              <a:spcPct val="35000"/>
            </a:spcAft>
            <a:buNone/>
          </a:pPr>
          <a:r>
            <a:rPr lang="en-GB" sz="2000" kern="1200"/>
            <a:t>Targeted</a:t>
          </a:r>
        </a:p>
        <a:p>
          <a:pPr marL="0" lvl="0" indent="0" algn="ctr" defTabSz="889000">
            <a:lnSpc>
              <a:spcPct val="90000"/>
            </a:lnSpc>
            <a:spcBef>
              <a:spcPct val="0"/>
            </a:spcBef>
            <a:spcAft>
              <a:spcPct val="35000"/>
            </a:spcAft>
            <a:buNone/>
          </a:pPr>
          <a:r>
            <a:rPr lang="en-GB" sz="1200" kern="1200"/>
            <a:t>Extra support </a:t>
          </a:r>
        </a:p>
      </dsp:txBody>
      <dsp:txXfrm>
        <a:off x="2750568" y="331218"/>
        <a:ext cx="1594987" cy="1594987"/>
      </dsp:txXfrm>
    </dsp:sp>
    <dsp:sp modelId="{1317F025-6770-4B21-A1DF-3953BD293C85}">
      <dsp:nvSpPr>
        <dsp:cNvPr id="0" name=""/>
        <dsp:cNvSpPr/>
      </dsp:nvSpPr>
      <dsp:spPr>
        <a:xfrm>
          <a:off x="4224758" y="885"/>
          <a:ext cx="2255653" cy="2255653"/>
        </a:xfrm>
        <a:prstGeom prst="ellipse">
          <a:avLst/>
        </a:prstGeom>
        <a:solidFill>
          <a:srgbClr val="DB2DAD">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4136" tIns="30480" rIns="124136" bIns="30480" numCol="1" spcCol="1270" anchor="ctr" anchorCtr="0">
          <a:noAutofit/>
        </a:bodyPr>
        <a:lstStyle/>
        <a:p>
          <a:pPr marL="0" lvl="0" indent="0" algn="ctr" defTabSz="1066800">
            <a:lnSpc>
              <a:spcPct val="90000"/>
            </a:lnSpc>
            <a:spcBef>
              <a:spcPct val="0"/>
            </a:spcBef>
            <a:spcAft>
              <a:spcPct val="35000"/>
            </a:spcAft>
            <a:buNone/>
          </a:pPr>
          <a:r>
            <a:rPr lang="en-GB" sz="2400" kern="1200"/>
            <a:t>Embedded</a:t>
          </a:r>
        </a:p>
        <a:p>
          <a:pPr marL="0" lvl="0" indent="0" algn="ctr" defTabSz="1066800">
            <a:lnSpc>
              <a:spcPct val="90000"/>
            </a:lnSpc>
            <a:spcBef>
              <a:spcPct val="0"/>
            </a:spcBef>
            <a:spcAft>
              <a:spcPct val="35000"/>
            </a:spcAft>
            <a:buNone/>
          </a:pPr>
          <a:r>
            <a:rPr lang="en-GB" sz="1200" kern="1200"/>
            <a:t>Indepth, in modules</a:t>
          </a:r>
        </a:p>
      </dsp:txBody>
      <dsp:txXfrm>
        <a:off x="4555091" y="331218"/>
        <a:ext cx="1594987" cy="1594987"/>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52C93BB5CA14EAE5887581BD8D26D" ma:contentTypeVersion="14" ma:contentTypeDescription="Create a new document." ma:contentTypeScope="" ma:versionID="054421859a4d30230e372d527f151864">
  <xsd:schema xmlns:xsd="http://www.w3.org/2001/XMLSchema" xmlns:xs="http://www.w3.org/2001/XMLSchema" xmlns:p="http://schemas.microsoft.com/office/2006/metadata/properties" xmlns:ns3="4a574b9e-dac7-4fbd-a2d7-aa56dc5a19d2" xmlns:ns4="36d71a6a-4494-4727-a8cc-18b9af01115b" targetNamespace="http://schemas.microsoft.com/office/2006/metadata/properties" ma:root="true" ma:fieldsID="195210acbca6afb378b5da6851d04766" ns3:_="" ns4:_="">
    <xsd:import namespace="4a574b9e-dac7-4fbd-a2d7-aa56dc5a19d2"/>
    <xsd:import namespace="36d71a6a-4494-4727-a8cc-18b9af0111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4b9e-dac7-4fbd-a2d7-aa56dc5a1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71a6a-4494-4727-a8cc-18b9af011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EECA7-505B-45ED-A8B3-E24729C09B4A}">
  <ds:schemaRefs>
    <ds:schemaRef ds:uri="http://schemas.microsoft.com/sharepoint/v3/contenttype/forms"/>
  </ds:schemaRefs>
</ds:datastoreItem>
</file>

<file path=customXml/itemProps2.xml><?xml version="1.0" encoding="utf-8"?>
<ds:datastoreItem xmlns:ds="http://schemas.openxmlformats.org/officeDocument/2006/customXml" ds:itemID="{D663A564-E98E-43FD-9BDD-3F6A2F67A3AD}">
  <ds:schemaRefs>
    <ds:schemaRef ds:uri="http://purl.org/dc/terms/"/>
    <ds:schemaRef ds:uri="http://www.w3.org/XML/1998/namespace"/>
    <ds:schemaRef ds:uri="4a574b9e-dac7-4fbd-a2d7-aa56dc5a19d2"/>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36d71a6a-4494-4727-a8cc-18b9af01115b"/>
  </ds:schemaRefs>
</ds:datastoreItem>
</file>

<file path=customXml/itemProps3.xml><?xml version="1.0" encoding="utf-8"?>
<ds:datastoreItem xmlns:ds="http://schemas.openxmlformats.org/officeDocument/2006/customXml" ds:itemID="{93CA3B27-5C3D-4A87-A8A0-7492605ED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4b9e-dac7-4fbd-a2d7-aa56dc5a19d2"/>
    <ds:schemaRef ds:uri="36d71a6a-4494-4727-a8cc-18b9af011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8A89-181A-44F7-8244-43508356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Stanbury</dc:creator>
  <cp:keywords/>
  <dc:description/>
  <cp:lastModifiedBy>Dave Stanbury</cp:lastModifiedBy>
  <cp:revision>15</cp:revision>
  <dcterms:created xsi:type="dcterms:W3CDTF">2021-12-09T16:49:00Z</dcterms:created>
  <dcterms:modified xsi:type="dcterms:W3CDTF">2022-12-14T18:21:00Z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0x010100BFB52C93BB5CA14EAE5887581BD8D26D</vt:lpwstr>
  </property>
</Properties>
</file>