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AF" w:rsidRPr="00A057FB" w:rsidRDefault="008031AF" w:rsidP="0040213F">
      <w:pPr>
        <w:pStyle w:val="Subtitle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1948A0" w:rsidTr="001948A0">
        <w:trPr>
          <w:trHeight w:val="391"/>
        </w:trPr>
        <w:tc>
          <w:tcPr>
            <w:tcW w:w="9912" w:type="dxa"/>
            <w:shd w:val="clear" w:color="auto" w:fill="1F4E79" w:themeFill="accent1" w:themeFillShade="80"/>
            <w:vAlign w:val="center"/>
          </w:tcPr>
          <w:p w:rsidR="001948A0" w:rsidRPr="001948A0" w:rsidRDefault="0065336E" w:rsidP="001948A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SENATE</w:t>
            </w:r>
          </w:p>
        </w:tc>
      </w:tr>
      <w:tr w:rsidR="001948A0" w:rsidTr="001948A0">
        <w:trPr>
          <w:trHeight w:val="411"/>
        </w:trPr>
        <w:tc>
          <w:tcPr>
            <w:tcW w:w="9912" w:type="dxa"/>
            <w:vAlign w:val="center"/>
          </w:tcPr>
          <w:p w:rsidR="001948A0" w:rsidRPr="001948A0" w:rsidRDefault="0065336E" w:rsidP="00982A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>09.30am 5</w:t>
            </w:r>
            <w:r w:rsidRPr="0065336E"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1F4E79" w:themeColor="accent1" w:themeShade="80"/>
                <w:sz w:val="24"/>
                <w:szCs w:val="24"/>
              </w:rPr>
              <w:t xml:space="preserve"> November 2019</w:t>
            </w:r>
          </w:p>
        </w:tc>
      </w:tr>
    </w:tbl>
    <w:p w:rsidR="001948A0" w:rsidRPr="001948A0" w:rsidRDefault="001948A0" w:rsidP="001948A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23"/>
      </w:tblGrid>
      <w:tr w:rsidR="001948A0" w:rsidTr="001948A0">
        <w:trPr>
          <w:trHeight w:val="411"/>
        </w:trPr>
        <w:tc>
          <w:tcPr>
            <w:tcW w:w="9912" w:type="dxa"/>
            <w:gridSpan w:val="2"/>
            <w:shd w:val="clear" w:color="auto" w:fill="1F4E79" w:themeFill="accent1" w:themeFillShade="80"/>
            <w:vAlign w:val="center"/>
          </w:tcPr>
          <w:p w:rsidR="001948A0" w:rsidRPr="001948A0" w:rsidRDefault="002673EB" w:rsidP="001948A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MINUTES</w:t>
            </w:r>
          </w:p>
        </w:tc>
      </w:tr>
      <w:tr w:rsidR="001948A0" w:rsidTr="00054A0E">
        <w:trPr>
          <w:trHeight w:val="411"/>
        </w:trPr>
        <w:tc>
          <w:tcPr>
            <w:tcW w:w="2689" w:type="dxa"/>
            <w:vAlign w:val="center"/>
          </w:tcPr>
          <w:p w:rsidR="001948A0" w:rsidRPr="00054A0E" w:rsidRDefault="00054A0E" w:rsidP="001948A0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054A0E">
              <w:rPr>
                <w:rFonts w:ascii="Arial" w:hAnsi="Arial" w:cs="Arial"/>
                <w:b/>
                <w:color w:val="1F4E79" w:themeColor="accent1" w:themeShade="80"/>
              </w:rPr>
              <w:t>Venue:</w:t>
            </w:r>
          </w:p>
        </w:tc>
        <w:tc>
          <w:tcPr>
            <w:tcW w:w="7223" w:type="dxa"/>
            <w:vAlign w:val="center"/>
          </w:tcPr>
          <w:p w:rsidR="001948A0" w:rsidRPr="00054A0E" w:rsidRDefault="0065336E" w:rsidP="00054A0E">
            <w:pPr>
              <w:rPr>
                <w:rFonts w:ascii="Arial" w:hAnsi="Arial" w:cs="Arial"/>
                <w:color w:val="1F4E79" w:themeColor="accent1" w:themeShade="80"/>
                <w:sz w:val="24"/>
                <w:szCs w:val="24"/>
              </w:rPr>
            </w:pPr>
            <w:r>
              <w:rPr>
                <w:rFonts w:ascii="Arial" w:hAnsi="Arial" w:cs="Arial"/>
              </w:rPr>
              <w:t>McClelland Suite, Schwann Building</w:t>
            </w:r>
          </w:p>
        </w:tc>
      </w:tr>
      <w:tr w:rsidR="002673EB" w:rsidTr="00054A0E">
        <w:trPr>
          <w:trHeight w:val="411"/>
        </w:trPr>
        <w:tc>
          <w:tcPr>
            <w:tcW w:w="2689" w:type="dxa"/>
            <w:vAlign w:val="center"/>
          </w:tcPr>
          <w:p w:rsidR="002673EB" w:rsidRPr="00054A0E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Author:</w:t>
            </w:r>
          </w:p>
        </w:tc>
        <w:tc>
          <w:tcPr>
            <w:tcW w:w="7223" w:type="dxa"/>
            <w:vAlign w:val="center"/>
          </w:tcPr>
          <w:p w:rsidR="002673EB" w:rsidRPr="00054A0E" w:rsidRDefault="0065336E" w:rsidP="002673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 Rachel Birds, Director of Registry</w:t>
            </w:r>
          </w:p>
        </w:tc>
      </w:tr>
      <w:tr w:rsidR="002673EB" w:rsidTr="00054A0E">
        <w:trPr>
          <w:trHeight w:val="411"/>
        </w:trPr>
        <w:tc>
          <w:tcPr>
            <w:tcW w:w="2689" w:type="dxa"/>
            <w:vAlign w:val="center"/>
          </w:tcPr>
          <w:p w:rsidR="002673EB" w:rsidRPr="00054A0E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Present:</w:t>
            </w:r>
            <w:r>
              <w:rPr>
                <w:rFonts w:ascii="Arial" w:hAnsi="Arial" w:cs="Arial"/>
                <w:b/>
                <w:color w:val="1F4E79" w:themeColor="accent1" w:themeShade="80"/>
              </w:rPr>
              <w:tab/>
            </w:r>
          </w:p>
        </w:tc>
        <w:tc>
          <w:tcPr>
            <w:tcW w:w="7223" w:type="dxa"/>
            <w:vAlign w:val="center"/>
          </w:tcPr>
          <w:p w:rsidR="002673EB" w:rsidRPr="00054A0E" w:rsidRDefault="0065336E" w:rsidP="00D850E8">
            <w:pPr>
              <w:rPr>
                <w:rFonts w:ascii="Arial" w:hAnsi="Arial" w:cs="Arial"/>
              </w:rPr>
            </w:pPr>
            <w:r w:rsidRPr="0065336E">
              <w:rPr>
                <w:rFonts w:ascii="Arial" w:hAnsi="Arial" w:cs="Arial"/>
              </w:rPr>
              <w:t xml:space="preserve">Professor R Cryan (Chair), </w:t>
            </w:r>
            <w:r w:rsidR="00D01FF2">
              <w:rPr>
                <w:rFonts w:ascii="Arial" w:hAnsi="Arial" w:cs="Arial"/>
              </w:rPr>
              <w:t xml:space="preserve">Ms A Adebisi, </w:t>
            </w:r>
            <w:r w:rsidRPr="0065336E">
              <w:rPr>
                <w:rFonts w:ascii="Arial" w:hAnsi="Arial" w:cs="Arial"/>
              </w:rPr>
              <w:t xml:space="preserve">Professor A Ball, Dr S Bastow, </w:t>
            </w:r>
            <w:r w:rsidR="00D850E8">
              <w:rPr>
                <w:rFonts w:ascii="Arial" w:hAnsi="Arial" w:cs="Arial"/>
              </w:rPr>
              <w:t xml:space="preserve">Professor A Crampton, </w:t>
            </w:r>
            <w:r w:rsidRPr="0065336E">
              <w:rPr>
                <w:rFonts w:ascii="Arial" w:hAnsi="Arial" w:cs="Arial"/>
              </w:rPr>
              <w:t xml:space="preserve">Professor S Donnelly, Mrs S Furmedge, Professor M Ginger, </w:t>
            </w:r>
            <w:r w:rsidR="00D850E8">
              <w:rPr>
                <w:rFonts w:ascii="Arial" w:hAnsi="Arial" w:cs="Arial"/>
              </w:rPr>
              <w:t xml:space="preserve">Professor P Goswami, </w:t>
            </w:r>
            <w:r w:rsidRPr="0065336E">
              <w:rPr>
                <w:rFonts w:ascii="Arial" w:hAnsi="Arial" w:cs="Arial"/>
              </w:rPr>
              <w:t xml:space="preserve">Mr E Haruna, Professor N King, Dr S Lui, Mr M Mills, Professor J Owen-Lynch, Professor A Pettican, Mr J Stephen, </w:t>
            </w:r>
            <w:r w:rsidR="001E359D">
              <w:rPr>
                <w:rFonts w:ascii="Arial" w:hAnsi="Arial" w:cs="Arial"/>
              </w:rPr>
              <w:t>Professor T Thornton</w:t>
            </w:r>
            <w:r w:rsidRPr="0065336E">
              <w:rPr>
                <w:rFonts w:ascii="Arial" w:hAnsi="Arial" w:cs="Arial"/>
              </w:rPr>
              <w:t xml:space="preserve">, Dr L Waters, </w:t>
            </w:r>
            <w:r w:rsidR="00D850E8">
              <w:rPr>
                <w:rFonts w:ascii="Arial" w:hAnsi="Arial" w:cs="Arial"/>
              </w:rPr>
              <w:t>Ms K White</w:t>
            </w:r>
            <w:r w:rsidRPr="0065336E">
              <w:rPr>
                <w:rFonts w:ascii="Arial" w:hAnsi="Arial" w:cs="Arial"/>
              </w:rPr>
              <w:t>.</w:t>
            </w:r>
          </w:p>
        </w:tc>
      </w:tr>
      <w:tr w:rsidR="002673EB" w:rsidTr="00054A0E">
        <w:trPr>
          <w:trHeight w:val="411"/>
        </w:trPr>
        <w:tc>
          <w:tcPr>
            <w:tcW w:w="2689" w:type="dxa"/>
            <w:vAlign w:val="center"/>
          </w:tcPr>
          <w:p w:rsidR="002673EB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In attendance:</w:t>
            </w:r>
          </w:p>
        </w:tc>
        <w:tc>
          <w:tcPr>
            <w:tcW w:w="7223" w:type="dxa"/>
            <w:vAlign w:val="center"/>
          </w:tcPr>
          <w:p w:rsidR="002673EB" w:rsidRPr="00054A0E" w:rsidRDefault="0065336E" w:rsidP="006D6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 R Birds, </w:t>
            </w:r>
            <w:r w:rsidR="005A69DE">
              <w:rPr>
                <w:rFonts w:ascii="Arial" w:hAnsi="Arial" w:cs="Arial"/>
              </w:rPr>
              <w:t xml:space="preserve">Mr C Blair, </w:t>
            </w:r>
            <w:r w:rsidR="006D6143">
              <w:rPr>
                <w:rFonts w:ascii="Arial" w:hAnsi="Arial" w:cs="Arial"/>
              </w:rPr>
              <w:t xml:space="preserve">Ms L French, Dr J Grainger, </w:t>
            </w:r>
            <w:r w:rsidR="00D01FF2">
              <w:rPr>
                <w:rFonts w:ascii="Arial" w:hAnsi="Arial" w:cs="Arial"/>
              </w:rPr>
              <w:t xml:space="preserve">Mr A Mandebura, </w:t>
            </w:r>
            <w:r w:rsidR="005A69DE">
              <w:rPr>
                <w:rFonts w:ascii="Arial" w:hAnsi="Arial" w:cs="Arial"/>
              </w:rPr>
              <w:t>D</w:t>
            </w:r>
            <w:r w:rsidR="006D6143">
              <w:rPr>
                <w:rFonts w:ascii="Arial" w:hAnsi="Arial" w:cs="Arial"/>
              </w:rPr>
              <w:t xml:space="preserve">r T Mears, </w:t>
            </w:r>
            <w:r w:rsidR="00D01FF2">
              <w:rPr>
                <w:rFonts w:ascii="Arial" w:hAnsi="Arial" w:cs="Arial"/>
              </w:rPr>
              <w:t>Ms S Moss</w:t>
            </w:r>
            <w:r w:rsidR="006D6143">
              <w:rPr>
                <w:rFonts w:ascii="Arial" w:hAnsi="Arial" w:cs="Arial"/>
              </w:rPr>
              <w:t xml:space="preserve">, </w:t>
            </w:r>
            <w:r w:rsidR="006D6143" w:rsidRPr="006D6143">
              <w:rPr>
                <w:rFonts w:ascii="Arial" w:hAnsi="Arial" w:cs="Arial"/>
              </w:rPr>
              <w:t>Professor L Towns-Andrews</w:t>
            </w:r>
            <w:r w:rsidR="006D6143">
              <w:rPr>
                <w:rFonts w:ascii="Arial" w:hAnsi="Arial" w:cs="Arial"/>
              </w:rPr>
              <w:t>, Mr A Youde.</w:t>
            </w:r>
          </w:p>
        </w:tc>
      </w:tr>
      <w:tr w:rsidR="002673EB" w:rsidTr="00054A0E">
        <w:trPr>
          <w:trHeight w:val="411"/>
        </w:trPr>
        <w:tc>
          <w:tcPr>
            <w:tcW w:w="2689" w:type="dxa"/>
            <w:vAlign w:val="center"/>
          </w:tcPr>
          <w:p w:rsidR="002673EB" w:rsidRDefault="002673EB" w:rsidP="002673EB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Apologies</w:t>
            </w:r>
            <w:r w:rsidR="00B35E39">
              <w:rPr>
                <w:rFonts w:ascii="Arial" w:hAnsi="Arial" w:cs="Arial"/>
                <w:b/>
                <w:color w:val="1F4E79" w:themeColor="accent1" w:themeShade="80"/>
              </w:rPr>
              <w:t>:</w:t>
            </w:r>
          </w:p>
        </w:tc>
        <w:tc>
          <w:tcPr>
            <w:tcW w:w="7223" w:type="dxa"/>
            <w:vAlign w:val="center"/>
          </w:tcPr>
          <w:p w:rsidR="002673EB" w:rsidRPr="00054A0E" w:rsidRDefault="00B966AA" w:rsidP="00B966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Professor P Bissell, Professor H Bryan, Dr S Burns, Mrs N Firth, Professor J Johnes, Professor M Kagioglou, Professor J Malay, </w:t>
            </w:r>
            <w:r w:rsidR="005A69DE">
              <w:rPr>
                <w:rFonts w:ascii="Arial" w:hAnsi="Arial" w:cs="Arial"/>
              </w:rPr>
              <w:t xml:space="preserve">Mr A Opakunle, </w:t>
            </w:r>
            <w:r>
              <w:rPr>
                <w:rFonts w:ascii="Arial" w:hAnsi="Arial" w:cs="Arial"/>
              </w:rPr>
              <w:t xml:space="preserve">Mr K Pilicudale, Professor T Schmidt, </w:t>
            </w:r>
            <w:r w:rsidR="005B74A6">
              <w:rPr>
                <w:rFonts w:ascii="Arial" w:hAnsi="Arial" w:cs="Arial"/>
              </w:rPr>
              <w:t xml:space="preserve">Professor D Taylor, </w:t>
            </w:r>
            <w:r>
              <w:rPr>
                <w:rFonts w:ascii="Arial" w:hAnsi="Arial" w:cs="Arial"/>
              </w:rPr>
              <w:t>Professor R Ward</w:t>
            </w:r>
            <w:r w:rsidR="006D6143">
              <w:rPr>
                <w:rFonts w:ascii="Arial" w:hAnsi="Arial" w:cs="Arial"/>
              </w:rPr>
              <w:t>.</w:t>
            </w:r>
          </w:p>
        </w:tc>
      </w:tr>
    </w:tbl>
    <w:p w:rsidR="001948A0" w:rsidRPr="009517B6" w:rsidRDefault="001948A0" w:rsidP="001948A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2197"/>
        <w:gridCol w:w="4358"/>
        <w:gridCol w:w="2712"/>
      </w:tblGrid>
      <w:tr w:rsidR="00054A0E" w:rsidTr="00342CE2">
        <w:tc>
          <w:tcPr>
            <w:tcW w:w="7366" w:type="dxa"/>
            <w:gridSpan w:val="3"/>
            <w:shd w:val="clear" w:color="auto" w:fill="1F4E79" w:themeFill="accent1" w:themeFillShade="80"/>
          </w:tcPr>
          <w:p w:rsidR="00054A0E" w:rsidRPr="00054A0E" w:rsidRDefault="00054A0E" w:rsidP="001948A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1F4E79" w:themeFill="accent1" w:themeFillShade="80"/>
          </w:tcPr>
          <w:p w:rsidR="00054A0E" w:rsidRPr="00054A0E" w:rsidRDefault="00054A0E" w:rsidP="001948A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054A0E">
              <w:rPr>
                <w:rFonts w:ascii="Arial" w:hAnsi="Arial" w:cs="Arial"/>
                <w:b/>
                <w:color w:val="FFFFFF" w:themeColor="background1"/>
              </w:rPr>
              <w:t>PAPER REFERENCE</w:t>
            </w:r>
          </w:p>
        </w:tc>
      </w:tr>
      <w:tr w:rsidR="00054A0E" w:rsidTr="00342CE2">
        <w:tc>
          <w:tcPr>
            <w:tcW w:w="645" w:type="dxa"/>
            <w:tcBorders>
              <w:bottom w:val="nil"/>
            </w:tcBorders>
          </w:tcPr>
          <w:p w:rsidR="00054A0E" w:rsidRPr="00982AA6" w:rsidRDefault="00054A0E" w:rsidP="007D67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  <w:gridSpan w:val="2"/>
            <w:tcBorders>
              <w:bottom w:val="nil"/>
            </w:tcBorders>
          </w:tcPr>
          <w:p w:rsidR="00E86365" w:rsidRPr="00ED0331" w:rsidRDefault="00E86365" w:rsidP="001948A0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ED0331">
              <w:rPr>
                <w:rFonts w:ascii="Arial" w:hAnsi="Arial" w:cs="Arial"/>
                <w:b/>
                <w:color w:val="1F4E79" w:themeColor="accent1" w:themeShade="80"/>
              </w:rPr>
              <w:t>DECLARATIONS OF INTEREST</w:t>
            </w:r>
          </w:p>
          <w:p w:rsidR="00E86365" w:rsidRPr="00982AA6" w:rsidRDefault="00E86365" w:rsidP="00982AA6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bottom w:val="nil"/>
            </w:tcBorders>
          </w:tcPr>
          <w:p w:rsidR="00054A0E" w:rsidRDefault="00054A0E" w:rsidP="00E86365">
            <w:pPr>
              <w:rPr>
                <w:rFonts w:ascii="Arial" w:hAnsi="Arial" w:cs="Arial"/>
              </w:rPr>
            </w:pPr>
          </w:p>
        </w:tc>
      </w:tr>
      <w:tr w:rsidR="00982AA6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982AA6" w:rsidRPr="00982AA6" w:rsidRDefault="00982AA6" w:rsidP="00982AA6">
            <w:pPr>
              <w:rPr>
                <w:rFonts w:ascii="Arial" w:hAnsi="Arial" w:cs="Arial"/>
                <w:b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1.1</w:t>
            </w: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982AA6" w:rsidRPr="00982AA6" w:rsidRDefault="00982AA6" w:rsidP="00982AA6">
            <w:pPr>
              <w:rPr>
                <w:rFonts w:ascii="Arial" w:hAnsi="Arial" w:cs="Arial"/>
              </w:rPr>
            </w:pPr>
            <w:r w:rsidRPr="00982AA6">
              <w:rPr>
                <w:rFonts w:ascii="Arial" w:hAnsi="Arial" w:cs="Arial"/>
              </w:rPr>
              <w:t>There were no declarations of interest</w:t>
            </w:r>
            <w:r w:rsidR="00E857A4">
              <w:rPr>
                <w:rFonts w:ascii="Arial" w:hAnsi="Arial" w:cs="Arial"/>
              </w:rPr>
              <w:t>.</w:t>
            </w:r>
          </w:p>
          <w:p w:rsidR="00982AA6" w:rsidRPr="00982AA6" w:rsidRDefault="00982AA6" w:rsidP="001948A0">
            <w:pPr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982AA6" w:rsidRDefault="00982AA6" w:rsidP="00E86365">
            <w:pPr>
              <w:rPr>
                <w:rFonts w:ascii="Arial" w:hAnsi="Arial" w:cs="Arial"/>
              </w:rPr>
            </w:pPr>
          </w:p>
        </w:tc>
      </w:tr>
      <w:tr w:rsidR="00FF0EE3" w:rsidTr="00342CE2">
        <w:tc>
          <w:tcPr>
            <w:tcW w:w="645" w:type="dxa"/>
            <w:tcBorders>
              <w:bottom w:val="nil"/>
            </w:tcBorders>
          </w:tcPr>
          <w:p w:rsidR="00FF0EE3" w:rsidRPr="00982AA6" w:rsidRDefault="00FF0EE3" w:rsidP="007D67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  <w:gridSpan w:val="2"/>
            <w:tcBorders>
              <w:bottom w:val="nil"/>
            </w:tcBorders>
          </w:tcPr>
          <w:p w:rsidR="00FF0EE3" w:rsidRDefault="00FF0EE3" w:rsidP="007D67BF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ESTATES BRIEFING</w:t>
            </w:r>
          </w:p>
          <w:p w:rsidR="00C10E00" w:rsidRDefault="0080023C" w:rsidP="00C10E00">
            <w:pPr>
              <w:rPr>
                <w:rFonts w:ascii="Arial" w:hAnsi="Arial" w:cs="Arial"/>
              </w:rPr>
            </w:pPr>
            <w:r w:rsidRPr="008749A1">
              <w:rPr>
                <w:rFonts w:ascii="Arial" w:hAnsi="Arial" w:cs="Arial"/>
              </w:rPr>
              <w:t xml:space="preserve">Members were advised that </w:t>
            </w:r>
          </w:p>
          <w:p w:rsidR="0080023C" w:rsidRPr="00051265" w:rsidRDefault="00C10E00" w:rsidP="0005126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10E00">
              <w:rPr>
                <w:rFonts w:ascii="Arial" w:hAnsi="Arial" w:cs="Arial"/>
              </w:rPr>
              <w:t xml:space="preserve">The </w:t>
            </w:r>
            <w:r w:rsidR="0080023C" w:rsidRPr="008749A1">
              <w:rPr>
                <w:rFonts w:ascii="Arial" w:hAnsi="Arial" w:cs="Arial"/>
              </w:rPr>
              <w:t>refurbishment to the Gym and Students</w:t>
            </w:r>
            <w:r w:rsidR="00051265">
              <w:rPr>
                <w:rFonts w:ascii="Arial" w:hAnsi="Arial" w:cs="Arial"/>
              </w:rPr>
              <w:t>’</w:t>
            </w:r>
            <w:r w:rsidR="0080023C" w:rsidRPr="008749A1">
              <w:rPr>
                <w:rFonts w:ascii="Arial" w:hAnsi="Arial" w:cs="Arial"/>
              </w:rPr>
              <w:t xml:space="preserve"> Union shop in student central were completed for th</w:t>
            </w:r>
            <w:r w:rsidR="00E14930" w:rsidRPr="008749A1">
              <w:rPr>
                <w:rFonts w:ascii="Arial" w:hAnsi="Arial" w:cs="Arial"/>
              </w:rPr>
              <w:t xml:space="preserve">e </w:t>
            </w:r>
            <w:r w:rsidR="00051265">
              <w:rPr>
                <w:rFonts w:ascii="Arial" w:hAnsi="Arial" w:cs="Arial"/>
              </w:rPr>
              <w:t xml:space="preserve">return of students </w:t>
            </w:r>
            <w:r w:rsidR="00E14930" w:rsidRPr="00051265">
              <w:rPr>
                <w:rFonts w:ascii="Arial" w:hAnsi="Arial" w:cs="Arial"/>
              </w:rPr>
              <w:t>in September</w:t>
            </w:r>
            <w:r w:rsidR="004F5E87" w:rsidRPr="00051265">
              <w:rPr>
                <w:rFonts w:ascii="Arial" w:hAnsi="Arial" w:cs="Arial"/>
              </w:rPr>
              <w:t xml:space="preserve"> 2019</w:t>
            </w:r>
            <w:r w:rsidR="00E14930" w:rsidRPr="00051265">
              <w:rPr>
                <w:rFonts w:ascii="Arial" w:hAnsi="Arial" w:cs="Arial"/>
              </w:rPr>
              <w:t xml:space="preserve">, however </w:t>
            </w:r>
            <w:r w:rsidR="005A69DE" w:rsidRPr="00051265">
              <w:rPr>
                <w:rFonts w:ascii="Arial" w:hAnsi="Arial" w:cs="Arial"/>
              </w:rPr>
              <w:t>further works would be required around the main door</w:t>
            </w:r>
            <w:r w:rsidR="0080023C" w:rsidRPr="00051265">
              <w:rPr>
                <w:rFonts w:ascii="Arial" w:hAnsi="Arial" w:cs="Arial"/>
              </w:rPr>
              <w:t xml:space="preserve"> next year.</w:t>
            </w:r>
          </w:p>
          <w:p w:rsidR="0080023C" w:rsidRPr="003052ED" w:rsidRDefault="00C10E00" w:rsidP="003052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052ED">
              <w:rPr>
                <w:rFonts w:ascii="Arial" w:hAnsi="Arial" w:cs="Arial"/>
              </w:rPr>
              <w:t xml:space="preserve">The </w:t>
            </w:r>
            <w:r w:rsidR="0080023C" w:rsidRPr="003052ED">
              <w:rPr>
                <w:rFonts w:ascii="Arial" w:hAnsi="Arial" w:cs="Arial"/>
              </w:rPr>
              <w:t>refurbishment of</w:t>
            </w:r>
            <w:r w:rsidR="00872D02" w:rsidRPr="003052ED">
              <w:rPr>
                <w:rFonts w:ascii="Arial" w:hAnsi="Arial" w:cs="Arial"/>
              </w:rPr>
              <w:t xml:space="preserve"> Sovereign Design House</w:t>
            </w:r>
            <w:r w:rsidR="0080023C" w:rsidRPr="003052ED">
              <w:rPr>
                <w:rFonts w:ascii="Arial" w:hAnsi="Arial" w:cs="Arial"/>
              </w:rPr>
              <w:t xml:space="preserve"> </w:t>
            </w:r>
            <w:r w:rsidR="00872D02" w:rsidRPr="003052ED">
              <w:rPr>
                <w:rFonts w:ascii="Arial" w:hAnsi="Arial" w:cs="Arial"/>
              </w:rPr>
              <w:t xml:space="preserve">(formerly </w:t>
            </w:r>
            <w:r w:rsidR="0080023C" w:rsidRPr="003052ED">
              <w:rPr>
                <w:rFonts w:ascii="Arial" w:hAnsi="Arial" w:cs="Arial"/>
              </w:rPr>
              <w:t>Bath House</w:t>
            </w:r>
            <w:r w:rsidR="00872D02" w:rsidRPr="003052ED">
              <w:rPr>
                <w:rFonts w:ascii="Arial" w:hAnsi="Arial" w:cs="Arial"/>
              </w:rPr>
              <w:t>)</w:t>
            </w:r>
            <w:r w:rsidR="0080023C" w:rsidRPr="003052ED">
              <w:rPr>
                <w:rFonts w:ascii="Arial" w:hAnsi="Arial" w:cs="Arial"/>
              </w:rPr>
              <w:t xml:space="preserve"> would be completed </w:t>
            </w:r>
            <w:r w:rsidR="005A69DE">
              <w:rPr>
                <w:rFonts w:ascii="Arial" w:hAnsi="Arial" w:cs="Arial"/>
              </w:rPr>
              <w:t>by Easter 2020</w:t>
            </w:r>
            <w:r>
              <w:rPr>
                <w:rFonts w:ascii="Arial" w:hAnsi="Arial" w:cs="Arial"/>
              </w:rPr>
              <w:t xml:space="preserve">. Members were encouraged to </w:t>
            </w:r>
            <w:r w:rsidR="0080023C" w:rsidRPr="003052ED">
              <w:rPr>
                <w:rFonts w:ascii="Arial" w:hAnsi="Arial" w:cs="Arial"/>
              </w:rPr>
              <w:t>consider design exhibition</w:t>
            </w:r>
            <w:r w:rsidR="005A69DE">
              <w:rPr>
                <w:rFonts w:ascii="Arial" w:hAnsi="Arial" w:cs="Arial"/>
              </w:rPr>
              <w:t xml:space="preserve"> theme</w:t>
            </w:r>
            <w:r w:rsidR="0080023C" w:rsidRPr="003052ED">
              <w:rPr>
                <w:rFonts w:ascii="Arial" w:hAnsi="Arial" w:cs="Arial"/>
              </w:rPr>
              <w:t>s for the building.</w:t>
            </w:r>
          </w:p>
          <w:p w:rsidR="0080023C" w:rsidRPr="003052ED" w:rsidRDefault="00C10E00" w:rsidP="003052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052ED">
              <w:rPr>
                <w:rFonts w:ascii="Arial" w:hAnsi="Arial" w:cs="Arial"/>
              </w:rPr>
              <w:t xml:space="preserve">The </w:t>
            </w:r>
            <w:r w:rsidR="00872D02" w:rsidRPr="003052ED">
              <w:rPr>
                <w:rFonts w:ascii="Arial" w:hAnsi="Arial" w:cs="Arial"/>
              </w:rPr>
              <w:t xml:space="preserve">Barbara Hepworth building was open, </w:t>
            </w:r>
            <w:r w:rsidR="005A69DE">
              <w:rPr>
                <w:rFonts w:ascii="Arial" w:hAnsi="Arial" w:cs="Arial"/>
              </w:rPr>
              <w:t>had won a regional construction award</w:t>
            </w:r>
            <w:r w:rsidR="00872D02" w:rsidRPr="003052ED">
              <w:rPr>
                <w:rFonts w:ascii="Arial" w:hAnsi="Arial" w:cs="Arial"/>
              </w:rPr>
              <w:t xml:space="preserve"> and had been nominated for a national award.</w:t>
            </w:r>
          </w:p>
          <w:p w:rsidR="0080023C" w:rsidRPr="003052ED" w:rsidRDefault="00C10E00" w:rsidP="003052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052ED">
              <w:rPr>
                <w:rFonts w:ascii="Arial" w:hAnsi="Arial" w:cs="Arial"/>
              </w:rPr>
              <w:t xml:space="preserve">The </w:t>
            </w:r>
            <w:r w:rsidR="00872D02" w:rsidRPr="003052ED">
              <w:rPr>
                <w:rFonts w:ascii="Arial" w:hAnsi="Arial" w:cs="Arial"/>
              </w:rPr>
              <w:t>Joseph Priestley Building extension was open</w:t>
            </w:r>
            <w:r w:rsidR="005A69DE">
              <w:rPr>
                <w:rFonts w:ascii="Arial" w:hAnsi="Arial" w:cs="Arial"/>
              </w:rPr>
              <w:t>ed</w:t>
            </w:r>
            <w:r w:rsidR="00872D02" w:rsidRPr="003052ED">
              <w:rPr>
                <w:rFonts w:ascii="Arial" w:hAnsi="Arial" w:cs="Arial"/>
              </w:rPr>
              <w:t xml:space="preserve"> </w:t>
            </w:r>
            <w:r w:rsidR="005A69DE">
              <w:rPr>
                <w:rFonts w:ascii="Arial" w:hAnsi="Arial" w:cs="Arial"/>
              </w:rPr>
              <w:t xml:space="preserve">in time to run the </w:t>
            </w:r>
            <w:r>
              <w:rPr>
                <w:rFonts w:ascii="Arial" w:hAnsi="Arial" w:cs="Arial"/>
              </w:rPr>
              <w:t>F</w:t>
            </w:r>
            <w:r w:rsidR="00872D02" w:rsidRPr="003052ED">
              <w:rPr>
                <w:rFonts w:ascii="Arial" w:hAnsi="Arial" w:cs="Arial"/>
              </w:rPr>
              <w:t xml:space="preserve">lying </w:t>
            </w:r>
            <w:r>
              <w:rPr>
                <w:rFonts w:ascii="Arial" w:hAnsi="Arial" w:cs="Arial"/>
              </w:rPr>
              <w:t>S</w:t>
            </w:r>
            <w:r w:rsidR="00872D02" w:rsidRPr="003052ED">
              <w:rPr>
                <w:rFonts w:ascii="Arial" w:hAnsi="Arial" w:cs="Arial"/>
              </w:rPr>
              <w:t xml:space="preserve">tart </w:t>
            </w:r>
            <w:r w:rsidR="005A69DE">
              <w:rPr>
                <w:rFonts w:ascii="Arial" w:hAnsi="Arial" w:cs="Arial"/>
              </w:rPr>
              <w:t xml:space="preserve">programme </w:t>
            </w:r>
            <w:r w:rsidR="00872D02" w:rsidRPr="003052ED">
              <w:rPr>
                <w:rFonts w:ascii="Arial" w:hAnsi="Arial" w:cs="Arial"/>
              </w:rPr>
              <w:t>at the end of September</w:t>
            </w:r>
            <w:r w:rsidR="00033524" w:rsidRPr="003052ED">
              <w:rPr>
                <w:rFonts w:ascii="Arial" w:hAnsi="Arial" w:cs="Arial"/>
              </w:rPr>
              <w:t>.</w:t>
            </w:r>
          </w:p>
          <w:p w:rsidR="00033524" w:rsidRPr="003052ED" w:rsidRDefault="00C10E00" w:rsidP="003052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</w:t>
            </w:r>
            <w:r w:rsidR="00033524" w:rsidRPr="003052ED">
              <w:rPr>
                <w:rFonts w:ascii="Arial" w:hAnsi="Arial" w:cs="Arial"/>
              </w:rPr>
              <w:t xml:space="preserve"> ongoing </w:t>
            </w:r>
            <w:r w:rsidR="005A69DE">
              <w:rPr>
                <w:rFonts w:ascii="Arial" w:hAnsi="Arial" w:cs="Arial"/>
              </w:rPr>
              <w:t>works to upgrade some of the</w:t>
            </w:r>
            <w:r w:rsidR="00033524" w:rsidRPr="003052ED">
              <w:rPr>
                <w:rFonts w:ascii="Arial" w:hAnsi="Arial" w:cs="Arial"/>
              </w:rPr>
              <w:t xml:space="preserve"> external landscaping across campus.</w:t>
            </w:r>
          </w:p>
          <w:p w:rsidR="0096513F" w:rsidRDefault="005A69DE" w:rsidP="003052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C10E00">
              <w:rPr>
                <w:rFonts w:ascii="Arial" w:hAnsi="Arial" w:cs="Arial"/>
              </w:rPr>
              <w:t>p</w:t>
            </w:r>
            <w:r w:rsidR="00E14930">
              <w:rPr>
                <w:rFonts w:ascii="Arial" w:hAnsi="Arial" w:cs="Arial"/>
              </w:rPr>
              <w:t xml:space="preserve">lans to relocate </w:t>
            </w:r>
            <w:r w:rsidR="00564EB0">
              <w:rPr>
                <w:rFonts w:ascii="Arial" w:hAnsi="Arial" w:cs="Arial"/>
              </w:rPr>
              <w:t>t</w:t>
            </w:r>
            <w:r w:rsidR="0096513F" w:rsidRPr="003052ED">
              <w:rPr>
                <w:rFonts w:ascii="Arial" w:hAnsi="Arial" w:cs="Arial"/>
              </w:rPr>
              <w:t xml:space="preserve">he Faith Centre </w:t>
            </w:r>
            <w:r w:rsidR="00E14930">
              <w:rPr>
                <w:rFonts w:ascii="Arial" w:hAnsi="Arial" w:cs="Arial"/>
              </w:rPr>
              <w:t xml:space="preserve">to </w:t>
            </w:r>
            <w:r w:rsidR="00051265">
              <w:rPr>
                <w:rFonts w:ascii="Arial" w:hAnsi="Arial" w:cs="Arial"/>
              </w:rPr>
              <w:t>the Wakefield Road site</w:t>
            </w:r>
            <w:r w:rsidR="00D75655">
              <w:rPr>
                <w:rFonts w:ascii="Arial" w:hAnsi="Arial" w:cs="Arial"/>
              </w:rPr>
              <w:t xml:space="preserve"> were progressing.</w:t>
            </w:r>
          </w:p>
          <w:p w:rsidR="005A69DE" w:rsidRDefault="005A69DE" w:rsidP="003052E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Technology Building would be developed to provide new research facilities for the School of Computing and Engineering.</w:t>
            </w:r>
          </w:p>
          <w:p w:rsidR="005A69DE" w:rsidRDefault="00C10E00" w:rsidP="008749A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14930">
              <w:rPr>
                <w:rFonts w:ascii="Arial" w:hAnsi="Arial" w:cs="Arial"/>
              </w:rPr>
              <w:t>lans</w:t>
            </w:r>
            <w:r w:rsidR="005A69DE">
              <w:rPr>
                <w:rFonts w:ascii="Arial" w:hAnsi="Arial" w:cs="Arial"/>
              </w:rPr>
              <w:t xml:space="preserve"> were being developed</w:t>
            </w:r>
            <w:r w:rsidR="00E14930">
              <w:rPr>
                <w:rFonts w:ascii="Arial" w:hAnsi="Arial" w:cs="Arial"/>
              </w:rPr>
              <w:t xml:space="preserve"> to remodel</w:t>
            </w:r>
            <w:r w:rsidR="0097435C" w:rsidRPr="003052ED">
              <w:rPr>
                <w:rFonts w:ascii="Arial" w:hAnsi="Arial" w:cs="Arial"/>
              </w:rPr>
              <w:t xml:space="preserve"> the Richard Steinitz </w:t>
            </w:r>
            <w:r w:rsidR="005A69DE">
              <w:rPr>
                <w:rFonts w:ascii="Arial" w:hAnsi="Arial" w:cs="Arial"/>
              </w:rPr>
              <w:t xml:space="preserve">and </w:t>
            </w:r>
            <w:r w:rsidR="0097435C" w:rsidRPr="003052ED">
              <w:rPr>
                <w:rFonts w:ascii="Arial" w:hAnsi="Arial" w:cs="Arial"/>
              </w:rPr>
              <w:t>Harold Wilson Building</w:t>
            </w:r>
            <w:r w:rsidR="005A69DE">
              <w:rPr>
                <w:rFonts w:ascii="Arial" w:hAnsi="Arial" w:cs="Arial"/>
              </w:rPr>
              <w:t>s</w:t>
            </w:r>
            <w:r w:rsidR="0097435C" w:rsidRPr="003052ED">
              <w:rPr>
                <w:rFonts w:ascii="Arial" w:hAnsi="Arial" w:cs="Arial"/>
              </w:rPr>
              <w:t xml:space="preserve"> </w:t>
            </w:r>
            <w:r w:rsidR="005A69DE">
              <w:rPr>
                <w:rFonts w:ascii="Arial" w:hAnsi="Arial" w:cs="Arial"/>
              </w:rPr>
              <w:t>to house the expansion of the School of Human and Health Sciences.</w:t>
            </w:r>
          </w:p>
          <w:p w:rsidR="0080023C" w:rsidRPr="00DF40A6" w:rsidRDefault="005A69DE" w:rsidP="008749A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</w:rPr>
              <w:t>Preliminary designs were being drawn up for a new teaching building but a decision to go ahead with the development was dependent on further growth in student numbers.</w:t>
            </w:r>
          </w:p>
          <w:p w:rsidR="00DF40A6" w:rsidRDefault="00DF40A6" w:rsidP="00DF4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Director of Estates and Facilities and </w:t>
            </w:r>
            <w:r w:rsidR="00D75655">
              <w:rPr>
                <w:rFonts w:ascii="Arial" w:hAnsi="Arial" w:cs="Arial"/>
              </w:rPr>
              <w:t xml:space="preserve">his </w:t>
            </w:r>
            <w:r>
              <w:rPr>
                <w:rFonts w:ascii="Arial" w:hAnsi="Arial" w:cs="Arial"/>
              </w:rPr>
              <w:t>team members were congratulated on their continuing efforts to improve the estate.</w:t>
            </w:r>
          </w:p>
          <w:p w:rsidR="00DF40A6" w:rsidRPr="00DF40A6" w:rsidRDefault="00DF40A6" w:rsidP="00DF4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46" w:type="dxa"/>
            <w:tcBorders>
              <w:bottom w:val="nil"/>
            </w:tcBorders>
          </w:tcPr>
          <w:p w:rsidR="00FF0EE3" w:rsidRDefault="00FF0EE3" w:rsidP="00AC36C6">
            <w:pPr>
              <w:jc w:val="right"/>
              <w:rPr>
                <w:rFonts w:ascii="Arial" w:hAnsi="Arial" w:cs="Arial"/>
              </w:rPr>
            </w:pPr>
          </w:p>
        </w:tc>
      </w:tr>
      <w:tr w:rsidR="00F82317" w:rsidTr="00342CE2">
        <w:trPr>
          <w:trHeight w:val="243"/>
        </w:trPr>
        <w:tc>
          <w:tcPr>
            <w:tcW w:w="645" w:type="dxa"/>
            <w:tcBorders>
              <w:bottom w:val="nil"/>
            </w:tcBorders>
          </w:tcPr>
          <w:p w:rsidR="00F82317" w:rsidRPr="00982AA6" w:rsidRDefault="00F82317" w:rsidP="007D67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  <w:gridSpan w:val="2"/>
            <w:tcBorders>
              <w:bottom w:val="nil"/>
            </w:tcBorders>
          </w:tcPr>
          <w:p w:rsidR="00DA6C7F" w:rsidRPr="00DA6C7F" w:rsidRDefault="00F82317" w:rsidP="00DA6C7F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ED0331">
              <w:rPr>
                <w:rFonts w:ascii="Arial" w:hAnsi="Arial" w:cs="Arial"/>
                <w:b/>
                <w:color w:val="1F4E79" w:themeColor="accent1" w:themeShade="80"/>
              </w:rPr>
              <w:t>MINUTES</w:t>
            </w:r>
          </w:p>
        </w:tc>
        <w:tc>
          <w:tcPr>
            <w:tcW w:w="2546" w:type="dxa"/>
            <w:tcBorders>
              <w:bottom w:val="nil"/>
            </w:tcBorders>
          </w:tcPr>
          <w:p w:rsidR="00F82317" w:rsidRDefault="00F82317" w:rsidP="00DA6C7F">
            <w:pPr>
              <w:rPr>
                <w:rFonts w:ascii="Arial" w:hAnsi="Arial" w:cs="Arial"/>
              </w:rPr>
            </w:pPr>
          </w:p>
        </w:tc>
      </w:tr>
      <w:tr w:rsidR="00982AA6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982AA6" w:rsidRPr="00982AA6" w:rsidRDefault="00982AA6" w:rsidP="00982AA6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E857A4" w:rsidRDefault="00E857A4" w:rsidP="007D67BF">
            <w:pPr>
              <w:rPr>
                <w:rFonts w:ascii="Arial" w:hAnsi="Arial" w:cs="Arial"/>
                <w:szCs w:val="24"/>
              </w:rPr>
            </w:pPr>
            <w:r w:rsidRPr="00E857A4">
              <w:rPr>
                <w:rFonts w:ascii="Arial" w:hAnsi="Arial" w:cs="Arial"/>
                <w:b/>
                <w:szCs w:val="24"/>
              </w:rPr>
              <w:t>Resolved</w:t>
            </w:r>
            <w:r>
              <w:rPr>
                <w:rFonts w:ascii="Arial" w:hAnsi="Arial" w:cs="Arial"/>
                <w:szCs w:val="24"/>
              </w:rPr>
              <w:t xml:space="preserve">: </w:t>
            </w:r>
            <w:r w:rsidRPr="0035293F">
              <w:rPr>
                <w:rFonts w:ascii="Arial" w:hAnsi="Arial" w:cs="Arial"/>
                <w:szCs w:val="24"/>
              </w:rPr>
              <w:t xml:space="preserve">that the </w:t>
            </w:r>
            <w:r>
              <w:rPr>
                <w:rFonts w:ascii="Arial" w:hAnsi="Arial" w:cs="Arial"/>
                <w:szCs w:val="24"/>
              </w:rPr>
              <w:t xml:space="preserve">minutes of the meeting held on </w:t>
            </w:r>
            <w:r w:rsidR="006D6143">
              <w:rPr>
                <w:rFonts w:ascii="Arial" w:hAnsi="Arial" w:cs="Arial"/>
                <w:szCs w:val="24"/>
              </w:rPr>
              <w:t>26 June</w:t>
            </w:r>
            <w:r>
              <w:rPr>
                <w:rFonts w:ascii="Arial" w:hAnsi="Arial" w:cs="Arial"/>
                <w:szCs w:val="24"/>
              </w:rPr>
              <w:t xml:space="preserve"> 2019</w:t>
            </w:r>
            <w:r w:rsidRPr="0035293F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be </w:t>
            </w:r>
            <w:r w:rsidR="0078520F">
              <w:rPr>
                <w:rFonts w:ascii="Arial" w:hAnsi="Arial" w:cs="Arial"/>
                <w:szCs w:val="24"/>
              </w:rPr>
              <w:t>accepted as a correct record.</w:t>
            </w:r>
          </w:p>
          <w:p w:rsidR="00DF40A6" w:rsidRPr="00DA6C7F" w:rsidRDefault="00DF40A6" w:rsidP="007D67B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982AA6" w:rsidRDefault="002C4A34" w:rsidP="00AC36C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SEN_2019_11_05_P3</w:t>
            </w:r>
          </w:p>
        </w:tc>
      </w:tr>
      <w:tr w:rsidR="00F82317" w:rsidTr="00342CE2">
        <w:tc>
          <w:tcPr>
            <w:tcW w:w="645" w:type="dxa"/>
            <w:tcBorders>
              <w:top w:val="single" w:sz="4" w:space="0" w:color="auto"/>
              <w:bottom w:val="nil"/>
            </w:tcBorders>
          </w:tcPr>
          <w:p w:rsidR="00F82317" w:rsidRPr="007D67BF" w:rsidRDefault="00F82317" w:rsidP="007D67B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nil"/>
            </w:tcBorders>
          </w:tcPr>
          <w:p w:rsidR="00F82317" w:rsidRPr="00DA6C7F" w:rsidRDefault="00F82317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E86365">
              <w:rPr>
                <w:rFonts w:ascii="Arial" w:hAnsi="Arial" w:cs="Arial"/>
                <w:b/>
                <w:color w:val="1F4E79" w:themeColor="accent1" w:themeShade="80"/>
              </w:rPr>
              <w:t>MATTERS ARISING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:rsidR="00F82317" w:rsidRDefault="00F82317" w:rsidP="00A46EE9">
            <w:pPr>
              <w:jc w:val="right"/>
              <w:rPr>
                <w:rFonts w:ascii="Arial" w:hAnsi="Arial" w:cs="Arial"/>
              </w:rPr>
            </w:pPr>
          </w:p>
        </w:tc>
      </w:tr>
      <w:tr w:rsidR="00584BAA" w:rsidTr="00342CE2">
        <w:tc>
          <w:tcPr>
            <w:tcW w:w="645" w:type="dxa"/>
            <w:tcBorders>
              <w:top w:val="nil"/>
              <w:bottom w:val="nil"/>
            </w:tcBorders>
          </w:tcPr>
          <w:p w:rsidR="00584BAA" w:rsidRPr="00E857A4" w:rsidRDefault="00584BAA" w:rsidP="00E857A4">
            <w:pPr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nil"/>
            </w:tcBorders>
          </w:tcPr>
          <w:p w:rsidR="00584BAA" w:rsidRDefault="00584BAA" w:rsidP="00584B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E46F9">
              <w:rPr>
                <w:rFonts w:ascii="Arial" w:hAnsi="Arial" w:cs="Arial"/>
              </w:rPr>
              <w:t>here were no matters arising which were not covered elsewhere on the agenda.</w:t>
            </w:r>
          </w:p>
          <w:p w:rsidR="00DF40A6" w:rsidRPr="002E46F9" w:rsidRDefault="00DF40A6" w:rsidP="00584BAA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584BAA" w:rsidTr="00342CE2">
        <w:tc>
          <w:tcPr>
            <w:tcW w:w="645" w:type="dxa"/>
            <w:tcBorders>
              <w:bottom w:val="nil"/>
            </w:tcBorders>
          </w:tcPr>
          <w:p w:rsidR="00584BAA" w:rsidRPr="007D67BF" w:rsidRDefault="00584BAA" w:rsidP="00584B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nil"/>
            </w:tcBorders>
          </w:tcPr>
          <w:p w:rsidR="00584BAA" w:rsidRPr="00DA6C7F" w:rsidRDefault="00584BAA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F82317">
              <w:rPr>
                <w:rFonts w:ascii="Arial" w:hAnsi="Arial" w:cs="Arial"/>
                <w:b/>
                <w:color w:val="1F4E79" w:themeColor="accent1" w:themeShade="80"/>
              </w:rPr>
              <w:t>CHAIR’S BUSINESS</w:t>
            </w: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E857A4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E857A4" w:rsidRPr="00E857A4" w:rsidRDefault="00E857A4" w:rsidP="00E857A4">
            <w:pPr>
              <w:rPr>
                <w:rFonts w:ascii="Arial" w:hAnsi="Arial" w:cs="Arial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E857A4" w:rsidRDefault="00E857A4" w:rsidP="002E4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2E46F9">
              <w:rPr>
                <w:rFonts w:ascii="Arial" w:hAnsi="Arial" w:cs="Arial"/>
              </w:rPr>
              <w:t>he Chair had no specific items to raise.</w:t>
            </w:r>
          </w:p>
          <w:p w:rsidR="00DF40A6" w:rsidRPr="00F82317" w:rsidRDefault="00DF40A6" w:rsidP="002E46F9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E857A4" w:rsidRDefault="00E857A4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2E46F9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2E46F9" w:rsidRPr="00282F4D" w:rsidRDefault="002E46F9" w:rsidP="00282F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2E46F9" w:rsidRPr="002E46F9" w:rsidRDefault="002E46F9" w:rsidP="002E46F9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E46F9">
              <w:rPr>
                <w:rFonts w:ascii="Arial" w:hAnsi="Arial" w:cs="Arial"/>
                <w:b/>
                <w:color w:val="1F4E79" w:themeColor="accent1" w:themeShade="80"/>
              </w:rPr>
              <w:t>UNIVERSITY NEWS</w:t>
            </w:r>
          </w:p>
          <w:p w:rsidR="002E46F9" w:rsidRDefault="002E46F9" w:rsidP="002E4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were briefed on a range of news from around the University including the following items:</w:t>
            </w:r>
          </w:p>
          <w:p w:rsidR="002E46F9" w:rsidRPr="006F0383" w:rsidRDefault="0078520F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E46F9" w:rsidRPr="006F0383">
              <w:rPr>
                <w:rFonts w:ascii="Arial" w:hAnsi="Arial" w:cs="Arial"/>
              </w:rPr>
              <w:t>Emeritus Chancellor, Sir Patrick Stewart</w:t>
            </w:r>
            <w:r>
              <w:rPr>
                <w:rFonts w:ascii="Arial" w:hAnsi="Arial" w:cs="Arial"/>
              </w:rPr>
              <w:t>,</w:t>
            </w:r>
            <w:r w:rsidR="002E46F9" w:rsidRPr="006F0383">
              <w:rPr>
                <w:rFonts w:ascii="Arial" w:hAnsi="Arial" w:cs="Arial"/>
              </w:rPr>
              <w:t xml:space="preserve"> visited the University and was highly impressed </w:t>
            </w:r>
            <w:r w:rsidR="00641F74" w:rsidRPr="006F0383">
              <w:rPr>
                <w:rFonts w:ascii="Arial" w:hAnsi="Arial" w:cs="Arial"/>
              </w:rPr>
              <w:t>by</w:t>
            </w:r>
            <w:r w:rsidR="002E46F9" w:rsidRPr="006F0383">
              <w:rPr>
                <w:rFonts w:ascii="Arial" w:hAnsi="Arial" w:cs="Arial"/>
              </w:rPr>
              <w:t xml:space="preserve"> the</w:t>
            </w:r>
            <w:r w:rsidR="00641F74" w:rsidRPr="006F0383">
              <w:rPr>
                <w:rFonts w:ascii="Arial" w:hAnsi="Arial" w:cs="Arial"/>
              </w:rPr>
              <w:t xml:space="preserve"> new Barbara Hepworth Building.</w:t>
            </w:r>
          </w:p>
          <w:p w:rsidR="00641F74" w:rsidRPr="006F0383" w:rsidRDefault="00641F74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 xml:space="preserve">The </w:t>
            </w:r>
            <w:r w:rsidR="0056060A">
              <w:rPr>
                <w:rFonts w:ascii="Arial" w:hAnsi="Arial" w:cs="Arial"/>
              </w:rPr>
              <w:t>Bishop of Leeds</w:t>
            </w:r>
            <w:r w:rsidR="00D6392A">
              <w:rPr>
                <w:rFonts w:ascii="Arial" w:hAnsi="Arial" w:cs="Arial"/>
              </w:rPr>
              <w:t>,</w:t>
            </w:r>
            <w:r w:rsidR="0056060A" w:rsidRPr="006F0383">
              <w:rPr>
                <w:rFonts w:ascii="Arial" w:hAnsi="Arial" w:cs="Arial"/>
              </w:rPr>
              <w:t xml:space="preserve"> </w:t>
            </w:r>
            <w:r w:rsidR="0056060A">
              <w:rPr>
                <w:rFonts w:ascii="Arial" w:hAnsi="Arial" w:cs="Arial"/>
              </w:rPr>
              <w:t xml:space="preserve">The </w:t>
            </w:r>
            <w:r w:rsidRPr="006F0383">
              <w:rPr>
                <w:rFonts w:ascii="Arial" w:hAnsi="Arial" w:cs="Arial"/>
              </w:rPr>
              <w:t>Rt</w:t>
            </w:r>
            <w:r w:rsidR="00972AB5">
              <w:rPr>
                <w:rFonts w:ascii="Arial" w:hAnsi="Arial" w:cs="Arial"/>
              </w:rPr>
              <w:t>.</w:t>
            </w:r>
            <w:r w:rsidRPr="006F0383">
              <w:rPr>
                <w:rFonts w:ascii="Arial" w:hAnsi="Arial" w:cs="Arial"/>
              </w:rPr>
              <w:t xml:space="preserve"> Revd Nick Baines</w:t>
            </w:r>
            <w:r w:rsidR="00D6392A">
              <w:rPr>
                <w:rFonts w:ascii="Arial" w:hAnsi="Arial" w:cs="Arial"/>
              </w:rPr>
              <w:t>,</w:t>
            </w:r>
            <w:r w:rsidRPr="006F0383">
              <w:rPr>
                <w:rFonts w:ascii="Arial" w:hAnsi="Arial" w:cs="Arial"/>
              </w:rPr>
              <w:t xml:space="preserve"> </w:t>
            </w:r>
            <w:r w:rsidR="005A69DE">
              <w:rPr>
                <w:rFonts w:ascii="Arial" w:hAnsi="Arial" w:cs="Arial"/>
              </w:rPr>
              <w:t>delivered the</w:t>
            </w:r>
            <w:r w:rsidRPr="006F0383">
              <w:rPr>
                <w:rFonts w:ascii="Arial" w:hAnsi="Arial" w:cs="Arial"/>
              </w:rPr>
              <w:t xml:space="preserve"> 2019 Harold Wilson Lecture</w:t>
            </w:r>
            <w:r w:rsidR="00DA6C7F">
              <w:rPr>
                <w:rFonts w:ascii="Arial" w:hAnsi="Arial" w:cs="Arial"/>
              </w:rPr>
              <w:t>.</w:t>
            </w:r>
          </w:p>
          <w:p w:rsidR="00641F74" w:rsidRPr="006F0383" w:rsidRDefault="00641F74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>The CEO of the Vietnamese Motorsports Association, Ms Nguyen Thi Quy Phuong</w:t>
            </w:r>
            <w:r w:rsidR="00E20690" w:rsidRPr="006F0383">
              <w:rPr>
                <w:rFonts w:ascii="Arial" w:hAnsi="Arial" w:cs="Arial"/>
              </w:rPr>
              <w:t>,</w:t>
            </w:r>
            <w:r w:rsidRPr="006F0383">
              <w:rPr>
                <w:rFonts w:ascii="Arial" w:hAnsi="Arial" w:cs="Arial"/>
              </w:rPr>
              <w:t xml:space="preserve"> visited the University and </w:t>
            </w:r>
            <w:r w:rsidR="00E20690" w:rsidRPr="006F0383">
              <w:rPr>
                <w:rFonts w:ascii="Arial" w:hAnsi="Arial" w:cs="Arial"/>
              </w:rPr>
              <w:t>met</w:t>
            </w:r>
            <w:r w:rsidRPr="006F0383">
              <w:rPr>
                <w:rFonts w:ascii="Arial" w:hAnsi="Arial" w:cs="Arial"/>
              </w:rPr>
              <w:t xml:space="preserve"> the University’s Formula Student racing car team</w:t>
            </w:r>
            <w:r w:rsidR="00DA6C7F">
              <w:rPr>
                <w:rFonts w:ascii="Arial" w:hAnsi="Arial" w:cs="Arial"/>
              </w:rPr>
              <w:t>.</w:t>
            </w:r>
          </w:p>
          <w:p w:rsidR="00641F74" w:rsidRPr="006F0383" w:rsidRDefault="00E20690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>The University’s Formula Student team has had a successful year, coming third in the UK</w:t>
            </w:r>
            <w:r w:rsidR="005A69DE">
              <w:rPr>
                <w:rFonts w:ascii="Arial" w:hAnsi="Arial" w:cs="Arial"/>
              </w:rPr>
              <w:t xml:space="preserve"> competition</w:t>
            </w:r>
            <w:r w:rsidR="00D6392A">
              <w:rPr>
                <w:rFonts w:ascii="Arial" w:hAnsi="Arial" w:cs="Arial"/>
              </w:rPr>
              <w:t>.</w:t>
            </w:r>
          </w:p>
          <w:p w:rsidR="00E20690" w:rsidRPr="006F0383" w:rsidRDefault="00E20690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>The Yorkshire Sikh Forum presented an award to the Vice-Chancellor honouring his contribution to business and education in the county.</w:t>
            </w:r>
          </w:p>
          <w:p w:rsidR="00E20690" w:rsidRPr="006F0383" w:rsidRDefault="00E20690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>Heritage Quay was chosen to host a travelling photography exhibition commemorating the founder of Sikhism</w:t>
            </w:r>
            <w:r w:rsidR="00C10E00">
              <w:rPr>
                <w:rFonts w:ascii="Arial" w:hAnsi="Arial" w:cs="Arial"/>
              </w:rPr>
              <w:t>,</w:t>
            </w:r>
            <w:r w:rsidRPr="006F0383">
              <w:rPr>
                <w:rFonts w:ascii="Arial" w:hAnsi="Arial" w:cs="Arial"/>
              </w:rPr>
              <w:t xml:space="preserve"> </w:t>
            </w:r>
            <w:r w:rsidR="00DC0F06" w:rsidRPr="00DC0F06">
              <w:rPr>
                <w:rFonts w:ascii="Arial" w:hAnsi="Arial" w:cs="Arial"/>
              </w:rPr>
              <w:t>Sh</w:t>
            </w:r>
            <w:r w:rsidRPr="00DC0F06">
              <w:rPr>
                <w:rFonts w:ascii="Arial" w:hAnsi="Arial" w:cs="Arial"/>
              </w:rPr>
              <w:t>ri Guru Nanak Dev Ji.</w:t>
            </w:r>
          </w:p>
          <w:p w:rsidR="00DC0F06" w:rsidRPr="00A23852" w:rsidRDefault="00E20690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>The University’s Professor Simon Iwnicki, Director of the Institute of Railway Research (IRR</w:t>
            </w:r>
            <w:r w:rsidR="0020424F" w:rsidRPr="006F0383">
              <w:rPr>
                <w:rFonts w:ascii="Arial" w:hAnsi="Arial" w:cs="Arial"/>
              </w:rPr>
              <w:t>)</w:t>
            </w:r>
            <w:r w:rsidRPr="006F0383">
              <w:rPr>
                <w:rFonts w:ascii="Arial" w:hAnsi="Arial" w:cs="Arial"/>
              </w:rPr>
              <w:t>, has been elected a Fellow of the Royal Academy of Engineering</w:t>
            </w:r>
            <w:r w:rsidR="00DC0F06">
              <w:rPr>
                <w:rFonts w:ascii="Arial" w:hAnsi="Arial" w:cs="Arial"/>
              </w:rPr>
              <w:t xml:space="preserve"> alon</w:t>
            </w:r>
            <w:r w:rsidR="00EC6DD6">
              <w:rPr>
                <w:rFonts w:ascii="Arial" w:hAnsi="Arial" w:cs="Arial"/>
              </w:rPr>
              <w:t>g</w:t>
            </w:r>
            <w:r w:rsidR="00DC0F06">
              <w:rPr>
                <w:rFonts w:ascii="Arial" w:hAnsi="Arial" w:cs="Arial"/>
              </w:rPr>
              <w:t>side</w:t>
            </w:r>
            <w:r w:rsidR="00DC0F06" w:rsidRPr="00DC0F06">
              <w:rPr>
                <w:rFonts w:ascii="Arial" w:hAnsi="Arial" w:cs="Arial"/>
              </w:rPr>
              <w:t xml:space="preserve"> Professor Dame </w:t>
            </w:r>
            <w:r w:rsidR="00C121B5">
              <w:rPr>
                <w:rFonts w:ascii="Arial" w:hAnsi="Arial" w:cs="Arial"/>
              </w:rPr>
              <w:t xml:space="preserve">Xiangqian (Jane) Jiang and the </w:t>
            </w:r>
            <w:r w:rsidR="00DC0F06" w:rsidRPr="00DC0F06">
              <w:rPr>
                <w:rFonts w:ascii="Arial" w:hAnsi="Arial" w:cs="Arial"/>
              </w:rPr>
              <w:t>Vice-Chancellor</w:t>
            </w:r>
            <w:r w:rsidR="00C121B5">
              <w:rPr>
                <w:rFonts w:ascii="Arial" w:hAnsi="Arial" w:cs="Arial"/>
              </w:rPr>
              <w:t>.</w:t>
            </w:r>
          </w:p>
          <w:p w:rsidR="00E20690" w:rsidRPr="006F0383" w:rsidRDefault="0020424F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 xml:space="preserve">The IRR has secured funding for two EU Horizon 2020 </w:t>
            </w:r>
            <w:r w:rsidR="00A23852">
              <w:rPr>
                <w:rFonts w:ascii="Arial" w:hAnsi="Arial" w:cs="Arial"/>
              </w:rPr>
              <w:t xml:space="preserve">projects totalling </w:t>
            </w:r>
            <w:r w:rsidR="00A23852" w:rsidRPr="005C75C3">
              <w:rPr>
                <w:rFonts w:ascii="Arial" w:eastAsia="Times New Roman" w:hAnsi="Arial" w:cs="Arial"/>
                <w:lang w:eastAsia="en-GB"/>
              </w:rPr>
              <w:t>€</w:t>
            </w:r>
            <w:r w:rsidR="00A23852">
              <w:rPr>
                <w:rFonts w:ascii="Arial" w:eastAsia="Times New Roman" w:hAnsi="Arial" w:cs="Arial"/>
                <w:lang w:eastAsia="en-GB"/>
              </w:rPr>
              <w:t>4</w:t>
            </w:r>
            <w:r w:rsidR="00A23852">
              <w:rPr>
                <w:rFonts w:ascii="Arial" w:hAnsi="Arial" w:cs="Arial"/>
              </w:rPr>
              <w:t xml:space="preserve"> </w:t>
            </w:r>
            <w:r w:rsidRPr="006F0383">
              <w:rPr>
                <w:rFonts w:ascii="Arial" w:hAnsi="Arial" w:cs="Arial"/>
              </w:rPr>
              <w:t>million.</w:t>
            </w:r>
          </w:p>
          <w:p w:rsidR="0020424F" w:rsidRPr="006F0383" w:rsidRDefault="0020424F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 xml:space="preserve">The November Honorary Award recipients include musician Phillip McCann and </w:t>
            </w:r>
            <w:r w:rsidR="00E86DE2">
              <w:rPr>
                <w:rFonts w:ascii="Arial" w:hAnsi="Arial" w:cs="Arial"/>
              </w:rPr>
              <w:t>s</w:t>
            </w:r>
            <w:r w:rsidRPr="006F0383">
              <w:rPr>
                <w:rFonts w:ascii="Arial" w:hAnsi="Arial" w:cs="Arial"/>
              </w:rPr>
              <w:t>upermarket CEO Roger Burnley.</w:t>
            </w:r>
          </w:p>
          <w:p w:rsidR="00706142" w:rsidRPr="00D6392A" w:rsidRDefault="00EC6DD6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University’s </w:t>
            </w:r>
            <w:r w:rsidR="00245FF2" w:rsidRPr="006F0383">
              <w:rPr>
                <w:rFonts w:ascii="Arial" w:hAnsi="Arial" w:cs="Arial"/>
              </w:rPr>
              <w:t xml:space="preserve">None in </w:t>
            </w:r>
            <w:r w:rsidR="00706142" w:rsidRPr="006F0383">
              <w:rPr>
                <w:rFonts w:ascii="Arial" w:hAnsi="Arial" w:cs="Arial"/>
              </w:rPr>
              <w:t>T</w:t>
            </w:r>
            <w:r w:rsidR="00245FF2" w:rsidRPr="006F0383">
              <w:rPr>
                <w:rFonts w:ascii="Arial" w:hAnsi="Arial" w:cs="Arial"/>
              </w:rPr>
              <w:t>hree</w:t>
            </w:r>
            <w:r w:rsidR="00706142" w:rsidRPr="006F0383">
              <w:rPr>
                <w:rFonts w:ascii="Arial" w:hAnsi="Arial" w:cs="Arial"/>
              </w:rPr>
              <w:t xml:space="preserve"> research centre travelled to Mumbai to stage a</w:t>
            </w:r>
            <w:r w:rsidR="00245FF2" w:rsidRPr="006F0383">
              <w:rPr>
                <w:rFonts w:ascii="Arial" w:hAnsi="Arial" w:cs="Arial"/>
              </w:rPr>
              <w:t xml:space="preserve"> </w:t>
            </w:r>
            <w:r w:rsidR="00706142" w:rsidRPr="006F0383">
              <w:rPr>
                <w:rFonts w:ascii="Arial" w:hAnsi="Arial" w:cs="Arial"/>
              </w:rPr>
              <w:t>five-</w:t>
            </w:r>
            <w:r w:rsidR="00245FF2" w:rsidRPr="006F0383">
              <w:rPr>
                <w:rFonts w:ascii="Arial" w:hAnsi="Arial" w:cs="Arial"/>
              </w:rPr>
              <w:t xml:space="preserve">day </w:t>
            </w:r>
            <w:r w:rsidR="00706142" w:rsidRPr="006F0383">
              <w:rPr>
                <w:rFonts w:ascii="Arial" w:hAnsi="Arial" w:cs="Arial"/>
              </w:rPr>
              <w:t>summit with the Indian School of Design and Innovation</w:t>
            </w:r>
            <w:r w:rsidR="00245FF2" w:rsidRPr="006F0383">
              <w:rPr>
                <w:rFonts w:ascii="Arial" w:hAnsi="Arial" w:cs="Arial"/>
              </w:rPr>
              <w:t xml:space="preserve"> </w:t>
            </w:r>
            <w:r w:rsidRPr="00D6392A">
              <w:rPr>
                <w:rFonts w:ascii="Arial" w:hAnsi="Arial" w:cs="Arial"/>
              </w:rPr>
              <w:t>in</w:t>
            </w:r>
            <w:r w:rsidR="00706142" w:rsidRPr="00D6392A">
              <w:rPr>
                <w:rFonts w:ascii="Arial" w:hAnsi="Arial" w:cs="Arial"/>
              </w:rPr>
              <w:t xml:space="preserve"> </w:t>
            </w:r>
            <w:r w:rsidR="00245FF2" w:rsidRPr="00D6392A">
              <w:rPr>
                <w:rFonts w:ascii="Arial" w:hAnsi="Arial" w:cs="Arial"/>
              </w:rPr>
              <w:t xml:space="preserve">collaboration </w:t>
            </w:r>
            <w:r w:rsidR="00706142" w:rsidRPr="00D6392A">
              <w:rPr>
                <w:rFonts w:ascii="Arial" w:hAnsi="Arial" w:cs="Arial"/>
              </w:rPr>
              <w:t>with</w:t>
            </w:r>
            <w:r w:rsidR="00DA6C7F" w:rsidRPr="00D6392A">
              <w:rPr>
                <w:rFonts w:ascii="Arial" w:hAnsi="Arial" w:cs="Arial"/>
              </w:rPr>
              <w:t xml:space="preserve"> the Schools of</w:t>
            </w:r>
            <w:r w:rsidR="00706142" w:rsidRPr="00D6392A">
              <w:rPr>
                <w:rFonts w:ascii="Arial" w:hAnsi="Arial" w:cs="Arial"/>
              </w:rPr>
              <w:t xml:space="preserve"> </w:t>
            </w:r>
            <w:r w:rsidR="00245FF2" w:rsidRPr="00D6392A">
              <w:rPr>
                <w:rFonts w:ascii="Arial" w:hAnsi="Arial" w:cs="Arial"/>
              </w:rPr>
              <w:t>A</w:t>
            </w:r>
            <w:r w:rsidR="00706142" w:rsidRPr="00D6392A">
              <w:rPr>
                <w:rFonts w:ascii="Arial" w:hAnsi="Arial" w:cs="Arial"/>
              </w:rPr>
              <w:t>rt</w:t>
            </w:r>
            <w:r w:rsidR="00DA6C7F" w:rsidRPr="00D6392A">
              <w:rPr>
                <w:rFonts w:ascii="Arial" w:hAnsi="Arial" w:cs="Arial"/>
              </w:rPr>
              <w:t>,</w:t>
            </w:r>
            <w:r w:rsidR="00706142" w:rsidRPr="00D6392A">
              <w:rPr>
                <w:rFonts w:ascii="Arial" w:hAnsi="Arial" w:cs="Arial"/>
              </w:rPr>
              <w:t xml:space="preserve"> </w:t>
            </w:r>
            <w:r w:rsidR="00245FF2" w:rsidRPr="00D6392A">
              <w:rPr>
                <w:rFonts w:ascii="Arial" w:hAnsi="Arial" w:cs="Arial"/>
              </w:rPr>
              <w:t>D</w:t>
            </w:r>
            <w:r w:rsidR="00DF40A6" w:rsidRPr="00D6392A">
              <w:rPr>
                <w:rFonts w:ascii="Arial" w:hAnsi="Arial" w:cs="Arial"/>
              </w:rPr>
              <w:t>esign &amp;</w:t>
            </w:r>
            <w:r w:rsidR="00706142" w:rsidRPr="00D6392A">
              <w:rPr>
                <w:rFonts w:ascii="Arial" w:hAnsi="Arial" w:cs="Arial"/>
              </w:rPr>
              <w:t xml:space="preserve"> </w:t>
            </w:r>
            <w:r w:rsidR="00245FF2" w:rsidRPr="00D6392A">
              <w:rPr>
                <w:rFonts w:ascii="Arial" w:hAnsi="Arial" w:cs="Arial"/>
              </w:rPr>
              <w:t>A</w:t>
            </w:r>
            <w:r w:rsidR="00706142" w:rsidRPr="00D6392A">
              <w:rPr>
                <w:rFonts w:ascii="Arial" w:hAnsi="Arial" w:cs="Arial"/>
              </w:rPr>
              <w:t>rchitecture</w:t>
            </w:r>
            <w:r w:rsidR="00245FF2" w:rsidRPr="00D6392A">
              <w:rPr>
                <w:rFonts w:ascii="Arial" w:hAnsi="Arial" w:cs="Arial"/>
              </w:rPr>
              <w:t xml:space="preserve"> and H</w:t>
            </w:r>
            <w:r w:rsidR="00DF40A6" w:rsidRPr="00D6392A">
              <w:rPr>
                <w:rFonts w:ascii="Arial" w:hAnsi="Arial" w:cs="Arial"/>
              </w:rPr>
              <w:t>uman &amp;</w:t>
            </w:r>
            <w:r w:rsidR="00706142" w:rsidRPr="00D6392A">
              <w:rPr>
                <w:rFonts w:ascii="Arial" w:hAnsi="Arial" w:cs="Arial"/>
              </w:rPr>
              <w:t xml:space="preserve"> </w:t>
            </w:r>
            <w:r w:rsidR="00245FF2" w:rsidRPr="00D6392A">
              <w:rPr>
                <w:rFonts w:ascii="Arial" w:hAnsi="Arial" w:cs="Arial"/>
              </w:rPr>
              <w:t>H</w:t>
            </w:r>
            <w:r w:rsidR="00706142" w:rsidRPr="00D6392A">
              <w:rPr>
                <w:rFonts w:ascii="Arial" w:hAnsi="Arial" w:cs="Arial"/>
              </w:rPr>
              <w:t xml:space="preserve">ealth </w:t>
            </w:r>
            <w:r w:rsidR="00245FF2" w:rsidRPr="00D6392A">
              <w:rPr>
                <w:rFonts w:ascii="Arial" w:hAnsi="Arial" w:cs="Arial"/>
              </w:rPr>
              <w:t>S</w:t>
            </w:r>
            <w:r w:rsidR="00706142" w:rsidRPr="00D6392A">
              <w:rPr>
                <w:rFonts w:ascii="Arial" w:hAnsi="Arial" w:cs="Arial"/>
              </w:rPr>
              <w:t>ciences. None in Three received £4.5m to develop a pro-social computer game</w:t>
            </w:r>
            <w:r w:rsidR="00D149B2" w:rsidRPr="00D6392A">
              <w:rPr>
                <w:rFonts w:ascii="Arial" w:hAnsi="Arial" w:cs="Arial"/>
              </w:rPr>
              <w:t xml:space="preserve"> to address gender-based violence.</w:t>
            </w:r>
          </w:p>
          <w:p w:rsidR="00D149B2" w:rsidRPr="006F0383" w:rsidRDefault="00245FF2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6392A">
              <w:rPr>
                <w:rFonts w:ascii="Arial" w:hAnsi="Arial" w:cs="Arial"/>
              </w:rPr>
              <w:t>P</w:t>
            </w:r>
            <w:r w:rsidR="00D149B2" w:rsidRPr="00D6392A">
              <w:rPr>
                <w:rFonts w:ascii="Arial" w:hAnsi="Arial" w:cs="Arial"/>
              </w:rPr>
              <w:t>rofessor</w:t>
            </w:r>
            <w:r w:rsidRPr="00D6392A">
              <w:rPr>
                <w:rFonts w:ascii="Arial" w:hAnsi="Arial" w:cs="Arial"/>
              </w:rPr>
              <w:t xml:space="preserve"> </w:t>
            </w:r>
            <w:r w:rsidR="00E86DE2" w:rsidRPr="00D6392A">
              <w:rPr>
                <w:rFonts w:ascii="Arial" w:hAnsi="Arial" w:cs="Arial"/>
              </w:rPr>
              <w:t xml:space="preserve">Paul </w:t>
            </w:r>
            <w:r w:rsidRPr="00D6392A">
              <w:rPr>
                <w:rFonts w:ascii="Arial" w:hAnsi="Arial" w:cs="Arial"/>
              </w:rPr>
              <w:t xml:space="preserve">Thomas </w:t>
            </w:r>
            <w:r w:rsidR="00D149B2" w:rsidRPr="00D6392A">
              <w:rPr>
                <w:rFonts w:ascii="Arial" w:hAnsi="Arial" w:cs="Arial"/>
              </w:rPr>
              <w:t xml:space="preserve">will work with US </w:t>
            </w:r>
            <w:r w:rsidR="00EC6DD6" w:rsidRPr="00D6392A">
              <w:rPr>
                <w:rFonts w:ascii="Arial" w:hAnsi="Arial" w:cs="Arial"/>
              </w:rPr>
              <w:t>and</w:t>
            </w:r>
            <w:r w:rsidR="00EC6DD6">
              <w:rPr>
                <w:rFonts w:ascii="Arial" w:hAnsi="Arial" w:cs="Arial"/>
              </w:rPr>
              <w:t xml:space="preserve"> Canadian </w:t>
            </w:r>
            <w:r w:rsidR="00051265">
              <w:rPr>
                <w:rFonts w:ascii="Arial" w:hAnsi="Arial" w:cs="Arial"/>
              </w:rPr>
              <w:t>u</w:t>
            </w:r>
            <w:r w:rsidR="00D149B2" w:rsidRPr="006F0383">
              <w:rPr>
                <w:rFonts w:ascii="Arial" w:hAnsi="Arial" w:cs="Arial"/>
              </w:rPr>
              <w:t xml:space="preserve">niversities to help government agencies </w:t>
            </w:r>
            <w:r w:rsidR="004F5E87">
              <w:rPr>
                <w:rFonts w:ascii="Arial" w:hAnsi="Arial" w:cs="Arial"/>
              </w:rPr>
              <w:t>explore the</w:t>
            </w:r>
            <w:r w:rsidR="00D149B2" w:rsidRPr="006F0383">
              <w:rPr>
                <w:rFonts w:ascii="Arial" w:hAnsi="Arial" w:cs="Arial"/>
              </w:rPr>
              <w:t xml:space="preserve"> barriers faced by people when reporting close family members suspected of violent extremism.</w:t>
            </w:r>
          </w:p>
          <w:p w:rsidR="0020424F" w:rsidRDefault="00D149B2" w:rsidP="005F1DB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6F0383">
              <w:rPr>
                <w:rFonts w:ascii="Arial" w:hAnsi="Arial" w:cs="Arial"/>
              </w:rPr>
              <w:t xml:space="preserve">Dr </w:t>
            </w:r>
            <w:r w:rsidR="005A69DE">
              <w:rPr>
                <w:rFonts w:ascii="Arial" w:hAnsi="Arial" w:cs="Arial"/>
              </w:rPr>
              <w:t xml:space="preserve">Melanie </w:t>
            </w:r>
            <w:r w:rsidRPr="006F0383">
              <w:rPr>
                <w:rFonts w:ascii="Arial" w:hAnsi="Arial" w:cs="Arial"/>
              </w:rPr>
              <w:t xml:space="preserve">Flynn </w:t>
            </w:r>
            <w:r w:rsidR="005A69DE">
              <w:rPr>
                <w:rFonts w:ascii="Arial" w:hAnsi="Arial" w:cs="Arial"/>
              </w:rPr>
              <w:t xml:space="preserve">had </w:t>
            </w:r>
            <w:r w:rsidRPr="006F0383">
              <w:rPr>
                <w:rFonts w:ascii="Arial" w:hAnsi="Arial" w:cs="Arial"/>
              </w:rPr>
              <w:t>provided advice</w:t>
            </w:r>
            <w:r w:rsidR="005A69DE">
              <w:rPr>
                <w:rFonts w:ascii="Arial" w:hAnsi="Arial" w:cs="Arial"/>
              </w:rPr>
              <w:t xml:space="preserve"> </w:t>
            </w:r>
            <w:r w:rsidRPr="006F0383">
              <w:rPr>
                <w:rFonts w:ascii="Arial" w:hAnsi="Arial" w:cs="Arial"/>
              </w:rPr>
              <w:t xml:space="preserve">to the judiciary of </w:t>
            </w:r>
            <w:r w:rsidR="00C10E00" w:rsidRPr="006F0383">
              <w:rPr>
                <w:rFonts w:ascii="Arial" w:hAnsi="Arial" w:cs="Arial"/>
              </w:rPr>
              <w:t>Malaysian</w:t>
            </w:r>
            <w:r w:rsidRPr="006F0383">
              <w:rPr>
                <w:rFonts w:ascii="Arial" w:hAnsi="Arial" w:cs="Arial"/>
              </w:rPr>
              <w:t xml:space="preserve"> states of Sabah and Sarawak on introducing sentencing guidelines for wildlife crime.</w:t>
            </w:r>
          </w:p>
          <w:p w:rsidR="005F1DB8" w:rsidRDefault="005F1DB8" w:rsidP="005F1DB8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</w:t>
            </w:r>
            <w:r w:rsidRPr="002A5DAF">
              <w:rPr>
                <w:rFonts w:ascii="Arial" w:eastAsia="Times New Roman" w:hAnsi="Arial" w:cs="Arial"/>
                <w:lang w:eastAsia="en-GB"/>
              </w:rPr>
              <w:t xml:space="preserve"> traditional black and white zebra crossing close to the University’s main entrance has been repainted in the vibrant colours of the LGBTQ+ movement to send out a permanent message of inclusiveness and tolerance.</w:t>
            </w:r>
          </w:p>
          <w:p w:rsidR="00DF40A6" w:rsidRDefault="005F1DB8" w:rsidP="005F1DB8">
            <w:pPr>
              <w:pStyle w:val="ListParagraph"/>
              <w:numPr>
                <w:ilvl w:val="0"/>
                <w:numId w:val="8"/>
              </w:numPr>
              <w:rPr>
                <w:rFonts w:ascii="Arial" w:eastAsia="Times New Roman" w:hAnsi="Arial" w:cs="Arial"/>
                <w:lang w:eastAsia="en-GB"/>
              </w:rPr>
            </w:pPr>
            <w:r w:rsidRPr="001F44A6">
              <w:rPr>
                <w:rFonts w:ascii="Arial" w:eastAsia="Times New Roman" w:hAnsi="Arial" w:cs="Arial"/>
                <w:lang w:eastAsia="en-GB"/>
              </w:rPr>
              <w:t xml:space="preserve">John Thompson, the University's Head of Procurement, has received a lifetime achievement award at the Conference of University Purchasing. </w:t>
            </w:r>
          </w:p>
          <w:p w:rsidR="001F44A6" w:rsidRPr="005F1DB8" w:rsidRDefault="001F44A6" w:rsidP="001F44A6">
            <w:pPr>
              <w:pStyle w:val="ListParagraph"/>
              <w:ind w:left="360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2E46F9" w:rsidRDefault="002E46F9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584BAA" w:rsidTr="00E857A4">
        <w:tc>
          <w:tcPr>
            <w:tcW w:w="9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584BAA" w:rsidRDefault="00584BAA" w:rsidP="00584B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82317">
              <w:rPr>
                <w:rFonts w:ascii="Arial" w:hAnsi="Arial" w:cs="Arial"/>
                <w:b/>
                <w:color w:val="FFFFFF" w:themeColor="background1"/>
              </w:rPr>
              <w:t>TO CONSIDER</w:t>
            </w:r>
            <w:r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  <w:p w:rsidR="00584BAA" w:rsidRPr="00F82317" w:rsidRDefault="00584BAA" w:rsidP="00584BAA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84BAA" w:rsidTr="00342CE2">
        <w:tc>
          <w:tcPr>
            <w:tcW w:w="645" w:type="dxa"/>
            <w:tcBorders>
              <w:bottom w:val="nil"/>
            </w:tcBorders>
          </w:tcPr>
          <w:p w:rsidR="00584BAA" w:rsidRPr="007D67BF" w:rsidRDefault="00584BAA" w:rsidP="00584B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bottom w:val="nil"/>
            </w:tcBorders>
          </w:tcPr>
          <w:p w:rsidR="00584BAA" w:rsidRPr="00E86365" w:rsidRDefault="00D149B2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TERMS OF REFERENCE AND MEMBERSHIP OF SENATE</w:t>
            </w:r>
          </w:p>
        </w:tc>
        <w:tc>
          <w:tcPr>
            <w:tcW w:w="2546" w:type="dxa"/>
            <w:tcBorders>
              <w:bottom w:val="nil"/>
            </w:tcBorders>
          </w:tcPr>
          <w:p w:rsidR="003F3B87" w:rsidRDefault="003F3B87" w:rsidP="00584BAA">
            <w:pPr>
              <w:jc w:val="right"/>
              <w:rPr>
                <w:rFonts w:ascii="Arial" w:hAnsi="Arial" w:cs="Arial"/>
              </w:rPr>
            </w:pPr>
          </w:p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E857A4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E857A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7</w:t>
            </w:r>
            <w:r w:rsidR="00E857A4" w:rsidRPr="002C4A34">
              <w:rPr>
                <w:rFonts w:ascii="Arial" w:hAnsi="Arial" w:cs="Arial"/>
                <w:b/>
                <w:color w:val="1F4E79" w:themeColor="accent1" w:themeShade="80"/>
              </w:rPr>
              <w:t>.1</w:t>
            </w:r>
          </w:p>
          <w:p w:rsidR="005E14E1" w:rsidRPr="00E857A4" w:rsidRDefault="005E14E1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E857A4" w:rsidRPr="00584BAA" w:rsidRDefault="00D149B2" w:rsidP="00E857A4">
            <w:pPr>
              <w:rPr>
                <w:rFonts w:ascii="Arial" w:hAnsi="Arial" w:cs="Arial"/>
                <w:color w:val="1F4E79" w:themeColor="accent1" w:themeShade="80"/>
              </w:rPr>
            </w:pPr>
            <w:r w:rsidRPr="00D149B2">
              <w:rPr>
                <w:rFonts w:ascii="Arial" w:hAnsi="Arial" w:cs="Arial"/>
                <w:b/>
              </w:rPr>
              <w:t>Resolved</w:t>
            </w:r>
            <w:r w:rsidRPr="0078520F">
              <w:rPr>
                <w:rFonts w:ascii="Arial" w:hAnsi="Arial" w:cs="Arial"/>
                <w:b/>
              </w:rPr>
              <w:t>:</w:t>
            </w:r>
            <w:r w:rsidRPr="00D149B2">
              <w:rPr>
                <w:rFonts w:ascii="Arial" w:hAnsi="Arial" w:cs="Arial"/>
              </w:rPr>
              <w:t xml:space="preserve"> to approve the terms of reference and membership of Senate</w:t>
            </w:r>
            <w:r w:rsidR="00342CE2">
              <w:rPr>
                <w:rFonts w:ascii="Arial" w:hAnsi="Arial" w:cs="Arial"/>
              </w:rPr>
              <w:t>.</w:t>
            </w:r>
          </w:p>
          <w:p w:rsidR="00E857A4" w:rsidRDefault="00E857A4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E857A4" w:rsidRDefault="002C4A34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SEN_2019_11_05_P7.1</w:t>
            </w:r>
          </w:p>
        </w:tc>
      </w:tr>
      <w:tr w:rsidR="00584BAA" w:rsidTr="00342CE2">
        <w:tc>
          <w:tcPr>
            <w:tcW w:w="645" w:type="dxa"/>
            <w:tcBorders>
              <w:top w:val="single" w:sz="4" w:space="0" w:color="auto"/>
              <w:bottom w:val="nil"/>
            </w:tcBorders>
          </w:tcPr>
          <w:p w:rsidR="00584BAA" w:rsidRPr="007D67BF" w:rsidRDefault="00584BAA" w:rsidP="00584B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nil"/>
            </w:tcBorders>
          </w:tcPr>
          <w:p w:rsidR="00584BAA" w:rsidRDefault="00D149B2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ACADEMIC GOVERNANCE</w:t>
            </w:r>
          </w:p>
          <w:p w:rsidR="00584BAA" w:rsidRPr="00E86365" w:rsidRDefault="00584BAA" w:rsidP="00E857A4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:rsidR="003F3B87" w:rsidRDefault="003F3B87" w:rsidP="00584BAA">
            <w:pPr>
              <w:jc w:val="right"/>
              <w:rPr>
                <w:rFonts w:ascii="Arial" w:hAnsi="Arial" w:cs="Arial"/>
              </w:rPr>
            </w:pPr>
          </w:p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E857A4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E857A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8</w:t>
            </w:r>
            <w:r w:rsidR="00E857A4" w:rsidRPr="002C4A34">
              <w:rPr>
                <w:rFonts w:ascii="Arial" w:hAnsi="Arial" w:cs="Arial"/>
                <w:b/>
                <w:color w:val="1F4E79" w:themeColor="accent1" w:themeShade="80"/>
              </w:rPr>
              <w:t>.1</w:t>
            </w:r>
          </w:p>
          <w:p w:rsidR="005E14E1" w:rsidRPr="002C4A34" w:rsidRDefault="005E14E1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5E14E1" w:rsidRPr="002C4A34" w:rsidRDefault="005E14E1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5E14E1" w:rsidRDefault="005E14E1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346974" w:rsidRPr="002C4A34" w:rsidRDefault="0034697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5E14E1" w:rsidRPr="00E857A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8</w:t>
            </w:r>
            <w:r w:rsidR="005E14E1" w:rsidRPr="002C4A34">
              <w:rPr>
                <w:rFonts w:ascii="Arial" w:hAnsi="Arial" w:cs="Arial"/>
                <w:b/>
                <w:color w:val="1F4E79" w:themeColor="accent1" w:themeShade="80"/>
              </w:rPr>
              <w:t>.2</w:t>
            </w: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E857A4" w:rsidRDefault="005E14E1" w:rsidP="00584BAA">
            <w:pPr>
              <w:rPr>
                <w:rFonts w:ascii="Arial" w:eastAsia="Times New Roman" w:hAnsi="Arial" w:cs="Arial"/>
              </w:rPr>
            </w:pPr>
            <w:r w:rsidRPr="005E14E1">
              <w:rPr>
                <w:rFonts w:ascii="Arial" w:eastAsia="Times New Roman" w:hAnsi="Arial" w:cs="Arial"/>
                <w:b/>
              </w:rPr>
              <w:t>Resolved</w:t>
            </w:r>
            <w:r w:rsidRPr="0078520F">
              <w:rPr>
                <w:rFonts w:ascii="Arial" w:eastAsia="Times New Roman" w:hAnsi="Arial" w:cs="Arial"/>
                <w:b/>
              </w:rPr>
              <w:t xml:space="preserve">: </w:t>
            </w:r>
            <w:r w:rsidR="00DF40A6">
              <w:rPr>
                <w:rFonts w:ascii="Arial" w:eastAsia="Times New Roman" w:hAnsi="Arial" w:cs="Arial"/>
              </w:rPr>
              <w:t>to recommend</w:t>
            </w:r>
            <w:r w:rsidRPr="005E14E1">
              <w:rPr>
                <w:rFonts w:ascii="Arial" w:eastAsia="Times New Roman" w:hAnsi="Arial" w:cs="Arial"/>
              </w:rPr>
              <w:t xml:space="preserve"> the </w:t>
            </w:r>
            <w:r w:rsidR="00DF40A6">
              <w:rPr>
                <w:rFonts w:ascii="Arial" w:eastAsia="Times New Roman" w:hAnsi="Arial" w:cs="Arial"/>
              </w:rPr>
              <w:t xml:space="preserve">Draft </w:t>
            </w:r>
            <w:r w:rsidRPr="005E14E1">
              <w:rPr>
                <w:rFonts w:ascii="Arial" w:eastAsia="Times New Roman" w:hAnsi="Arial" w:cs="Arial"/>
              </w:rPr>
              <w:t>Annual Academi</w:t>
            </w:r>
            <w:r w:rsidR="000A46DE">
              <w:rPr>
                <w:rFonts w:ascii="Arial" w:eastAsia="Times New Roman" w:hAnsi="Arial" w:cs="Arial"/>
              </w:rPr>
              <w:t>c Governance Report (considered previously at</w:t>
            </w:r>
            <w:r w:rsidRPr="005E14E1">
              <w:rPr>
                <w:rFonts w:ascii="Arial" w:eastAsia="Times New Roman" w:hAnsi="Arial" w:cs="Arial"/>
              </w:rPr>
              <w:t xml:space="preserve"> Audit Committee</w:t>
            </w:r>
            <w:r w:rsidR="000A46DE">
              <w:rPr>
                <w:rFonts w:ascii="Arial" w:eastAsia="Times New Roman" w:hAnsi="Arial" w:cs="Arial"/>
              </w:rPr>
              <w:t xml:space="preserve"> and Governance and Membership Committee)</w:t>
            </w:r>
            <w:r w:rsidR="00346974">
              <w:rPr>
                <w:rFonts w:ascii="Arial" w:eastAsia="Times New Roman" w:hAnsi="Arial" w:cs="Arial"/>
              </w:rPr>
              <w:t xml:space="preserve"> for</w:t>
            </w:r>
            <w:r w:rsidR="000A46DE">
              <w:rPr>
                <w:rFonts w:ascii="Arial" w:eastAsia="Times New Roman" w:hAnsi="Arial" w:cs="Arial"/>
              </w:rPr>
              <w:t xml:space="preserve"> approval by</w:t>
            </w:r>
            <w:r w:rsidRPr="005E14E1">
              <w:rPr>
                <w:rFonts w:ascii="Arial" w:eastAsia="Times New Roman" w:hAnsi="Arial" w:cs="Arial"/>
              </w:rPr>
              <w:t xml:space="preserve"> University Council.</w:t>
            </w:r>
          </w:p>
          <w:p w:rsidR="005E14E1" w:rsidRDefault="005E14E1" w:rsidP="00584BAA">
            <w:pPr>
              <w:rPr>
                <w:rFonts w:ascii="Arial" w:eastAsia="Times New Roman" w:hAnsi="Arial" w:cs="Arial"/>
              </w:rPr>
            </w:pPr>
          </w:p>
          <w:p w:rsidR="005E14E1" w:rsidRDefault="00A04211" w:rsidP="00900E14">
            <w:pPr>
              <w:rPr>
                <w:rFonts w:ascii="Arial" w:hAnsi="Arial" w:cs="Arial"/>
              </w:rPr>
            </w:pPr>
            <w:r w:rsidRPr="00A04211">
              <w:rPr>
                <w:rFonts w:ascii="Arial" w:hAnsi="Arial" w:cs="Arial"/>
                <w:b/>
              </w:rPr>
              <w:t>Resolved:</w:t>
            </w:r>
            <w:r>
              <w:rPr>
                <w:rFonts w:ascii="Arial" w:hAnsi="Arial" w:cs="Arial"/>
              </w:rPr>
              <w:t xml:space="preserve"> to note that Senate received </w:t>
            </w:r>
            <w:r w:rsidR="00C10E00">
              <w:rPr>
                <w:rFonts w:ascii="Arial" w:hAnsi="Arial" w:cs="Arial"/>
              </w:rPr>
              <w:t xml:space="preserve">positive </w:t>
            </w:r>
            <w:r w:rsidR="00900E14">
              <w:rPr>
                <w:rFonts w:ascii="Arial" w:hAnsi="Arial" w:cs="Arial"/>
              </w:rPr>
              <w:t>feedback</w:t>
            </w:r>
            <w:r w:rsidR="00346974">
              <w:rPr>
                <w:rFonts w:ascii="Arial" w:hAnsi="Arial" w:cs="Arial"/>
              </w:rPr>
              <w:t xml:space="preserve"> on</w:t>
            </w:r>
            <w:r>
              <w:rPr>
                <w:rFonts w:ascii="Arial" w:hAnsi="Arial" w:cs="Arial"/>
              </w:rPr>
              <w:t xml:space="preserve"> its operations following the recent review of academic governance.</w:t>
            </w:r>
          </w:p>
          <w:p w:rsidR="000A46DE" w:rsidRDefault="000A46DE" w:rsidP="00900E1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E857A4" w:rsidRDefault="002C4A34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SEN_2019_11_05_P8.1</w:t>
            </w: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346974" w:rsidRDefault="0034697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SEN_2019_11_05_P8.2</w:t>
            </w:r>
          </w:p>
        </w:tc>
      </w:tr>
      <w:tr w:rsidR="00900E14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900E14" w:rsidRPr="00282F4D" w:rsidRDefault="00900E14" w:rsidP="00282F4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900E14" w:rsidRPr="00900E14" w:rsidRDefault="00900E14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900E14">
              <w:rPr>
                <w:rFonts w:ascii="Arial" w:hAnsi="Arial" w:cs="Arial"/>
                <w:b/>
                <w:color w:val="1F4E79" w:themeColor="accent1" w:themeShade="80"/>
              </w:rPr>
              <w:t>HONORARY AWARDS</w:t>
            </w:r>
          </w:p>
          <w:p w:rsidR="00900E14" w:rsidRDefault="0056060A" w:rsidP="00900E1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Members were updated on </w:t>
            </w:r>
            <w:r w:rsidR="00635D9B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Honorary Award proposals for 2020</w:t>
            </w:r>
            <w:r w:rsidR="00346974" w:rsidRPr="00900E14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and </w:t>
            </w:r>
            <w:r w:rsidR="00346974" w:rsidRPr="00900E14">
              <w:rPr>
                <w:rFonts w:ascii="Arial" w:eastAsia="Times New Roman" w:hAnsi="Arial" w:cs="Arial"/>
              </w:rPr>
              <w:t xml:space="preserve">were reminded that the names of those nominated were to be kept </w:t>
            </w:r>
            <w:r w:rsidR="00972AB5">
              <w:rPr>
                <w:rFonts w:ascii="Arial" w:eastAsia="Times New Roman" w:hAnsi="Arial" w:cs="Arial"/>
              </w:rPr>
              <w:t xml:space="preserve">strictly </w:t>
            </w:r>
            <w:r w:rsidR="00346974" w:rsidRPr="00900E14">
              <w:rPr>
                <w:rFonts w:ascii="Arial" w:eastAsia="Times New Roman" w:hAnsi="Arial" w:cs="Arial"/>
              </w:rPr>
              <w:t xml:space="preserve">confidential until formally announced by the University.   </w:t>
            </w:r>
          </w:p>
          <w:p w:rsidR="0056060A" w:rsidRDefault="0056060A" w:rsidP="00900E14">
            <w:pPr>
              <w:rPr>
                <w:rFonts w:ascii="Arial" w:eastAsia="Times New Roman" w:hAnsi="Arial" w:cs="Arial"/>
              </w:rPr>
            </w:pPr>
          </w:p>
          <w:p w:rsidR="0056060A" w:rsidRPr="00E75FE0" w:rsidRDefault="0056060A" w:rsidP="00900E14">
            <w:pPr>
              <w:rPr>
                <w:rFonts w:ascii="Arial" w:eastAsia="Times New Roman" w:hAnsi="Arial" w:cs="Arial"/>
              </w:rPr>
            </w:pPr>
            <w:r w:rsidRPr="0056060A">
              <w:rPr>
                <w:rFonts w:ascii="Arial" w:eastAsia="Times New Roman" w:hAnsi="Arial" w:cs="Arial"/>
                <w:b/>
              </w:rPr>
              <w:t>Resolved</w:t>
            </w:r>
            <w:r>
              <w:rPr>
                <w:rFonts w:ascii="Arial" w:eastAsia="Times New Roman" w:hAnsi="Arial" w:cs="Arial"/>
              </w:rPr>
              <w:t>: to recommend the nominations to Council</w:t>
            </w:r>
          </w:p>
          <w:p w:rsidR="00972AB5" w:rsidRPr="005E14E1" w:rsidRDefault="00972AB5" w:rsidP="00584BAA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900E14" w:rsidRDefault="00900E14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584BAA" w:rsidTr="00E857A4">
        <w:tc>
          <w:tcPr>
            <w:tcW w:w="99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1F4E79" w:themeFill="accent1" w:themeFillShade="80"/>
          </w:tcPr>
          <w:p w:rsidR="00584BAA" w:rsidRDefault="00584BAA" w:rsidP="00584BA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82317">
              <w:rPr>
                <w:rFonts w:ascii="Arial" w:hAnsi="Arial" w:cs="Arial"/>
                <w:b/>
                <w:color w:val="FFFFFF" w:themeColor="background1"/>
              </w:rPr>
              <w:t xml:space="preserve">TO </w:t>
            </w:r>
            <w:r>
              <w:rPr>
                <w:rFonts w:ascii="Arial" w:hAnsi="Arial" w:cs="Arial"/>
                <w:b/>
                <w:color w:val="FFFFFF" w:themeColor="background1"/>
              </w:rPr>
              <w:t>NOTE:</w:t>
            </w:r>
          </w:p>
          <w:p w:rsidR="00584BAA" w:rsidRPr="00F82317" w:rsidRDefault="00584BAA" w:rsidP="00584BAA">
            <w:pPr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84BAA" w:rsidTr="00342CE2">
        <w:tc>
          <w:tcPr>
            <w:tcW w:w="645" w:type="dxa"/>
            <w:tcBorders>
              <w:bottom w:val="nil"/>
            </w:tcBorders>
          </w:tcPr>
          <w:p w:rsidR="00584BAA" w:rsidRPr="007D67BF" w:rsidRDefault="00584BAA" w:rsidP="00584B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bottom w:val="nil"/>
            </w:tcBorders>
          </w:tcPr>
          <w:p w:rsidR="00584BAA" w:rsidRPr="00E86365" w:rsidRDefault="00900E1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ENROLMENTS FOR SEPTEMBER 2019 AND APPLICATIONS FOR 2020</w:t>
            </w:r>
          </w:p>
        </w:tc>
        <w:tc>
          <w:tcPr>
            <w:tcW w:w="2546" w:type="dxa"/>
            <w:tcBorders>
              <w:bottom w:val="nil"/>
            </w:tcBorders>
          </w:tcPr>
          <w:p w:rsidR="003F3B87" w:rsidRDefault="003F3B87" w:rsidP="00584BAA">
            <w:pPr>
              <w:jc w:val="right"/>
              <w:rPr>
                <w:rFonts w:ascii="Arial" w:hAnsi="Arial" w:cs="Arial"/>
              </w:rPr>
            </w:pPr>
          </w:p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E857A4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E857A4" w:rsidRPr="00E857A4" w:rsidRDefault="00E857A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1F44A6" w:rsidRPr="00D6392A" w:rsidRDefault="0029032D" w:rsidP="00D6392A">
            <w:pPr>
              <w:keepLines/>
              <w:widowControl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Members were briefed on enrolments for September 2019 and applications for 2020 by the Deputy Vice-Chancellor</w:t>
            </w:r>
            <w:r w:rsidRPr="002E2698">
              <w:rPr>
                <w:rFonts w:ascii="Arial" w:eastAsia="Times New Roman" w:hAnsi="Arial" w:cs="Arial"/>
              </w:rPr>
              <w:t xml:space="preserve">. </w:t>
            </w:r>
            <w:r w:rsidR="00972AB5">
              <w:rPr>
                <w:rFonts w:ascii="Arial" w:eastAsia="Times New Roman" w:hAnsi="Arial" w:cs="Arial"/>
              </w:rPr>
              <w:t>Members were informed of an</w:t>
            </w:r>
            <w:r w:rsidRPr="002E2698">
              <w:rPr>
                <w:rFonts w:ascii="Arial" w:eastAsia="Times New Roman" w:hAnsi="Arial" w:cs="Arial"/>
              </w:rPr>
              <w:t xml:space="preserve"> </w:t>
            </w:r>
            <w:r w:rsidR="00300CE0" w:rsidRPr="002E2698">
              <w:rPr>
                <w:rFonts w:ascii="Arial" w:eastAsia="Times New Roman" w:hAnsi="Arial" w:cs="Arial"/>
              </w:rPr>
              <w:t xml:space="preserve">overall </w:t>
            </w:r>
            <w:r w:rsidR="00972AB5">
              <w:rPr>
                <w:rFonts w:ascii="Arial" w:eastAsia="Times New Roman" w:hAnsi="Arial" w:cs="Arial"/>
              </w:rPr>
              <w:t>increase</w:t>
            </w:r>
            <w:r w:rsidRPr="002E2698">
              <w:rPr>
                <w:rFonts w:ascii="Arial" w:eastAsia="Times New Roman" w:hAnsi="Arial" w:cs="Arial"/>
              </w:rPr>
              <w:t xml:space="preserve"> </w:t>
            </w:r>
            <w:r w:rsidR="002E2698">
              <w:rPr>
                <w:rFonts w:ascii="Arial" w:eastAsia="Times New Roman" w:hAnsi="Arial" w:cs="Arial"/>
              </w:rPr>
              <w:t>in enrolmen</w:t>
            </w:r>
            <w:r w:rsidR="004D5FDA">
              <w:rPr>
                <w:rFonts w:ascii="Arial" w:eastAsia="Times New Roman" w:hAnsi="Arial" w:cs="Arial"/>
              </w:rPr>
              <w:t>ts, but the number</w:t>
            </w:r>
            <w:r w:rsidR="002E2698" w:rsidRPr="002E2698">
              <w:rPr>
                <w:rFonts w:ascii="Arial" w:eastAsia="Times New Roman" w:hAnsi="Arial" w:cs="Arial"/>
              </w:rPr>
              <w:t xml:space="preserve"> </w:t>
            </w:r>
            <w:r w:rsidRPr="002E2698">
              <w:rPr>
                <w:rFonts w:ascii="Arial" w:eastAsia="Times New Roman" w:hAnsi="Arial" w:cs="Arial"/>
              </w:rPr>
              <w:t>varie</w:t>
            </w:r>
            <w:r w:rsidR="00DC4248">
              <w:rPr>
                <w:rFonts w:ascii="Arial" w:eastAsia="Times New Roman" w:hAnsi="Arial" w:cs="Arial"/>
              </w:rPr>
              <w:t>d</w:t>
            </w:r>
            <w:r w:rsidRPr="002E2698">
              <w:rPr>
                <w:rFonts w:ascii="Arial" w:eastAsia="Times New Roman" w:hAnsi="Arial" w:cs="Arial"/>
              </w:rPr>
              <w:t xml:space="preserve"> </w:t>
            </w:r>
            <w:r w:rsidR="002E2698" w:rsidRPr="002E2698">
              <w:rPr>
                <w:rFonts w:ascii="Arial" w:eastAsia="Times New Roman" w:hAnsi="Arial" w:cs="Arial"/>
              </w:rPr>
              <w:t>between</w:t>
            </w:r>
            <w:r w:rsidRPr="002E2698">
              <w:rPr>
                <w:rFonts w:ascii="Arial" w:eastAsia="Times New Roman" w:hAnsi="Arial" w:cs="Arial"/>
              </w:rPr>
              <w:t xml:space="preserve"> school</w:t>
            </w:r>
            <w:r w:rsidR="002E2698" w:rsidRPr="002E2698">
              <w:rPr>
                <w:rFonts w:ascii="Arial" w:eastAsia="Times New Roman" w:hAnsi="Arial" w:cs="Arial"/>
              </w:rPr>
              <w:t>s</w:t>
            </w:r>
            <w:r w:rsidR="002E2698">
              <w:rPr>
                <w:rFonts w:ascii="Arial" w:eastAsia="Times New Roman" w:hAnsi="Arial" w:cs="Arial"/>
              </w:rPr>
              <w:t>.</w:t>
            </w:r>
            <w:r w:rsidRPr="002E2698">
              <w:rPr>
                <w:rFonts w:ascii="Arial" w:eastAsia="Times New Roman" w:hAnsi="Arial" w:cs="Arial"/>
              </w:rPr>
              <w:t xml:space="preserve"> </w:t>
            </w:r>
            <w:r w:rsidR="002E2698" w:rsidRPr="002E2698">
              <w:rPr>
                <w:rFonts w:ascii="Arial" w:eastAsia="Times New Roman" w:hAnsi="Arial" w:cs="Arial"/>
              </w:rPr>
              <w:t>A</w:t>
            </w:r>
            <w:r w:rsidRPr="002E2698">
              <w:rPr>
                <w:rFonts w:ascii="Arial" w:eastAsia="Times New Roman" w:hAnsi="Arial" w:cs="Arial"/>
              </w:rPr>
              <w:t xml:space="preserve">t </w:t>
            </w:r>
            <w:r w:rsidR="002E2698" w:rsidRPr="002E2698">
              <w:rPr>
                <w:rFonts w:ascii="Arial" w:eastAsia="Times New Roman" w:hAnsi="Arial" w:cs="Arial"/>
              </w:rPr>
              <w:t xml:space="preserve">the </w:t>
            </w:r>
            <w:r w:rsidRPr="002E2698">
              <w:rPr>
                <w:rFonts w:ascii="Arial" w:eastAsia="Times New Roman" w:hAnsi="Arial" w:cs="Arial"/>
              </w:rPr>
              <w:t xml:space="preserve">end of October </w:t>
            </w:r>
            <w:r w:rsidR="002E2698" w:rsidRPr="002E2698">
              <w:rPr>
                <w:rFonts w:ascii="Arial" w:eastAsia="Times New Roman" w:hAnsi="Arial" w:cs="Arial"/>
              </w:rPr>
              <w:t xml:space="preserve">2019, recruitment for 2020 appeared broadly </w:t>
            </w:r>
            <w:r w:rsidR="00300CE0">
              <w:rPr>
                <w:rFonts w:ascii="Arial" w:eastAsia="Times New Roman" w:hAnsi="Arial" w:cs="Arial"/>
              </w:rPr>
              <w:t>in line with</w:t>
            </w:r>
            <w:r w:rsidR="00972AB5">
              <w:rPr>
                <w:rFonts w:ascii="Arial" w:eastAsia="Times New Roman" w:hAnsi="Arial" w:cs="Arial"/>
              </w:rPr>
              <w:t xml:space="preserve"> the p</w:t>
            </w:r>
            <w:r w:rsidR="00245CA6">
              <w:rPr>
                <w:rFonts w:ascii="Arial" w:eastAsia="Times New Roman" w:hAnsi="Arial" w:cs="Arial"/>
              </w:rPr>
              <w:t>revious year. Positive news reported was</w:t>
            </w:r>
            <w:r w:rsidR="002E2698">
              <w:rPr>
                <w:rFonts w:ascii="Arial" w:eastAsia="Times New Roman" w:hAnsi="Arial" w:cs="Arial"/>
              </w:rPr>
              <w:t xml:space="preserve"> </w:t>
            </w:r>
            <w:r w:rsidR="00972AB5">
              <w:rPr>
                <w:rFonts w:ascii="Arial" w:eastAsia="Times New Roman" w:hAnsi="Arial" w:cs="Arial"/>
              </w:rPr>
              <w:t xml:space="preserve">increased </w:t>
            </w:r>
            <w:r w:rsidR="002E2698">
              <w:rPr>
                <w:rFonts w:ascii="Arial" w:eastAsia="Times New Roman" w:hAnsi="Arial" w:cs="Arial"/>
              </w:rPr>
              <w:t xml:space="preserve">numbers </w:t>
            </w:r>
            <w:r w:rsidR="00300CE0">
              <w:rPr>
                <w:rFonts w:ascii="Arial" w:eastAsia="Times New Roman" w:hAnsi="Arial" w:cs="Arial"/>
              </w:rPr>
              <w:t>attending</w:t>
            </w:r>
            <w:r w:rsidR="00972AB5">
              <w:rPr>
                <w:rFonts w:ascii="Arial" w:eastAsia="Times New Roman" w:hAnsi="Arial" w:cs="Arial"/>
              </w:rPr>
              <w:t xml:space="preserve"> open days</w:t>
            </w:r>
            <w:r w:rsidR="002E2698">
              <w:rPr>
                <w:rFonts w:ascii="Arial" w:eastAsia="Times New Roman" w:hAnsi="Arial" w:cs="Arial"/>
              </w:rPr>
              <w:t>.</w:t>
            </w:r>
            <w:r w:rsidRPr="002E2698">
              <w:rPr>
                <w:rFonts w:ascii="Arial" w:eastAsia="Times New Roman" w:hAnsi="Arial" w:cs="Arial"/>
              </w:rPr>
              <w:t xml:space="preserve"> </w:t>
            </w:r>
          </w:p>
          <w:p w:rsidR="001F44A6" w:rsidRDefault="001F44A6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E857A4" w:rsidRDefault="00E857A4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584BAA" w:rsidTr="00342CE2">
        <w:tc>
          <w:tcPr>
            <w:tcW w:w="645" w:type="dxa"/>
            <w:tcBorders>
              <w:bottom w:val="nil"/>
            </w:tcBorders>
          </w:tcPr>
          <w:p w:rsidR="00584BAA" w:rsidRPr="007D67BF" w:rsidRDefault="00584BAA" w:rsidP="00584B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nil"/>
            </w:tcBorders>
          </w:tcPr>
          <w:p w:rsidR="00584BAA" w:rsidRDefault="002E2698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 xml:space="preserve">PRESENTATIONS FROM THE PRO VICE-CHANCELLOR </w:t>
            </w:r>
            <w:r w:rsidR="00073F3C">
              <w:rPr>
                <w:rFonts w:ascii="Arial" w:hAnsi="Arial" w:cs="Arial"/>
                <w:b/>
                <w:color w:val="1F4E79" w:themeColor="accent1" w:themeShade="80"/>
              </w:rPr>
              <w:t>(TEACHING AND LEARNING)</w:t>
            </w:r>
          </w:p>
          <w:p w:rsidR="00584BAA" w:rsidRPr="00E86365" w:rsidRDefault="00584BAA" w:rsidP="00E857A4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single" w:sz="4" w:space="0" w:color="auto"/>
              <w:bottom w:val="nil"/>
            </w:tcBorders>
          </w:tcPr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E857A4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E857A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11</w:t>
            </w:r>
            <w:r w:rsidR="00E857A4" w:rsidRPr="002C4A34">
              <w:rPr>
                <w:rFonts w:ascii="Arial" w:hAnsi="Arial" w:cs="Arial"/>
                <w:b/>
                <w:color w:val="1F4E79" w:themeColor="accent1" w:themeShade="80"/>
              </w:rPr>
              <w:t>.1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11.2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184F86" w:rsidRDefault="00184F86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11.3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B8330B" w:rsidRDefault="00B8330B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76881" w:rsidRDefault="00276881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A72E43" w:rsidRPr="002C4A34" w:rsidRDefault="00A72E43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9E6BE6" w:rsidRPr="002C4A34" w:rsidRDefault="009E6BE6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11.4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B8330B" w:rsidRPr="002C4A34" w:rsidRDefault="00B8330B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E857A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11.5</w:t>
            </w: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E857A4" w:rsidRDefault="006B5ADB" w:rsidP="00584B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Student Survey</w:t>
            </w:r>
            <w:r w:rsidR="007D03E2">
              <w:rPr>
                <w:rFonts w:ascii="Arial" w:hAnsi="Arial" w:cs="Arial"/>
                <w:b/>
              </w:rPr>
              <w:t xml:space="preserve"> (NSS)</w:t>
            </w:r>
          </w:p>
          <w:p w:rsidR="006B5ADB" w:rsidRDefault="00282F4D" w:rsidP="003961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</w:t>
            </w:r>
            <w:r w:rsidR="002C79AA">
              <w:rPr>
                <w:rFonts w:ascii="Arial" w:hAnsi="Arial" w:cs="Arial"/>
              </w:rPr>
              <w:t>o Vice-</w:t>
            </w:r>
            <w:r w:rsidR="009C279E">
              <w:rPr>
                <w:rFonts w:ascii="Arial" w:hAnsi="Arial" w:cs="Arial"/>
              </w:rPr>
              <w:t xml:space="preserve">Chancellor presented an update on NSS </w:t>
            </w:r>
            <w:r w:rsidR="004F5E87">
              <w:rPr>
                <w:rFonts w:ascii="Arial" w:hAnsi="Arial" w:cs="Arial"/>
              </w:rPr>
              <w:t>activity</w:t>
            </w:r>
            <w:r w:rsidR="00E86DE2">
              <w:rPr>
                <w:rFonts w:ascii="Arial" w:hAnsi="Arial" w:cs="Arial"/>
              </w:rPr>
              <w:t xml:space="preserve">, noting that all schools have examples of good practice </w:t>
            </w:r>
            <w:r w:rsidR="00245CA6">
              <w:rPr>
                <w:rFonts w:ascii="Arial" w:hAnsi="Arial" w:cs="Arial"/>
              </w:rPr>
              <w:t>to share and courses where improved engagement was</w:t>
            </w:r>
            <w:r w:rsidR="00E86DE2">
              <w:rPr>
                <w:rFonts w:ascii="Arial" w:hAnsi="Arial" w:cs="Arial"/>
              </w:rPr>
              <w:t xml:space="preserve"> required</w:t>
            </w:r>
            <w:r w:rsidR="009E4A8A">
              <w:rPr>
                <w:rFonts w:ascii="Arial" w:hAnsi="Arial" w:cs="Arial"/>
              </w:rPr>
              <w:t xml:space="preserve">. Members were reminded </w:t>
            </w:r>
            <w:r w:rsidR="00B8330B">
              <w:rPr>
                <w:rFonts w:ascii="Arial" w:hAnsi="Arial" w:cs="Arial"/>
              </w:rPr>
              <w:t>that the ne</w:t>
            </w:r>
            <w:r w:rsidR="00245CA6">
              <w:rPr>
                <w:rFonts w:ascii="Arial" w:hAnsi="Arial" w:cs="Arial"/>
              </w:rPr>
              <w:t>xt survey was due to begin on 22</w:t>
            </w:r>
            <w:r w:rsidR="00B8330B">
              <w:rPr>
                <w:rFonts w:ascii="Arial" w:hAnsi="Arial" w:cs="Arial"/>
              </w:rPr>
              <w:t xml:space="preserve"> January 2020</w:t>
            </w:r>
            <w:r w:rsidR="00245CA6">
              <w:rPr>
                <w:rFonts w:ascii="Arial" w:hAnsi="Arial" w:cs="Arial"/>
              </w:rPr>
              <w:t>.  Senate was</w:t>
            </w:r>
            <w:r w:rsidR="009E4A8A">
              <w:rPr>
                <w:rFonts w:ascii="Arial" w:hAnsi="Arial" w:cs="Arial"/>
              </w:rPr>
              <w:t xml:space="preserve"> informed that </w:t>
            </w:r>
            <w:r w:rsidR="00B8330B">
              <w:rPr>
                <w:rFonts w:ascii="Arial" w:hAnsi="Arial" w:cs="Arial"/>
              </w:rPr>
              <w:t xml:space="preserve">a </w:t>
            </w:r>
            <w:r w:rsidR="009E4A8A">
              <w:rPr>
                <w:rFonts w:ascii="Arial" w:hAnsi="Arial" w:cs="Arial"/>
              </w:rPr>
              <w:t>marketi</w:t>
            </w:r>
            <w:r w:rsidR="00396149">
              <w:rPr>
                <w:rFonts w:ascii="Arial" w:hAnsi="Arial" w:cs="Arial"/>
              </w:rPr>
              <w:t xml:space="preserve">ng </w:t>
            </w:r>
            <w:r w:rsidR="00B8330B">
              <w:rPr>
                <w:rFonts w:ascii="Arial" w:hAnsi="Arial" w:cs="Arial"/>
              </w:rPr>
              <w:t>campaign was in place</w:t>
            </w:r>
            <w:r w:rsidR="00E86DE2">
              <w:rPr>
                <w:rFonts w:ascii="Arial" w:hAnsi="Arial" w:cs="Arial"/>
              </w:rPr>
              <w:t xml:space="preserve"> to optimise response rates</w:t>
            </w:r>
            <w:r w:rsidR="0078520F">
              <w:rPr>
                <w:rFonts w:ascii="Arial" w:hAnsi="Arial" w:cs="Arial"/>
              </w:rPr>
              <w:t xml:space="preserve">. </w:t>
            </w:r>
            <w:r w:rsidR="00E86DE2">
              <w:rPr>
                <w:rFonts w:ascii="Arial" w:hAnsi="Arial" w:cs="Arial"/>
              </w:rPr>
              <w:t>Common themes in s</w:t>
            </w:r>
            <w:r w:rsidR="000A4B53">
              <w:rPr>
                <w:rFonts w:ascii="Arial" w:hAnsi="Arial" w:cs="Arial"/>
              </w:rPr>
              <w:t xml:space="preserve">chool action plans were </w:t>
            </w:r>
            <w:r w:rsidR="00E86DE2">
              <w:rPr>
                <w:rFonts w:ascii="Arial" w:hAnsi="Arial" w:cs="Arial"/>
              </w:rPr>
              <w:t>noted</w:t>
            </w:r>
            <w:r w:rsidR="000A4B53">
              <w:rPr>
                <w:rFonts w:ascii="Arial" w:hAnsi="Arial" w:cs="Arial"/>
              </w:rPr>
              <w:t>.</w:t>
            </w:r>
          </w:p>
          <w:p w:rsidR="007D03E2" w:rsidRDefault="007D03E2" w:rsidP="00396149">
            <w:pPr>
              <w:rPr>
                <w:rFonts w:ascii="Arial" w:hAnsi="Arial" w:cs="Arial"/>
              </w:rPr>
            </w:pPr>
          </w:p>
          <w:p w:rsidR="007D03E2" w:rsidRPr="001169A6" w:rsidRDefault="007D03E2" w:rsidP="00396149">
            <w:pPr>
              <w:rPr>
                <w:rFonts w:ascii="Arial" w:hAnsi="Arial" w:cs="Arial"/>
                <w:b/>
              </w:rPr>
            </w:pPr>
            <w:r w:rsidRPr="001169A6">
              <w:rPr>
                <w:rFonts w:ascii="Arial" w:hAnsi="Arial" w:cs="Arial"/>
                <w:b/>
              </w:rPr>
              <w:t>Teaching Excellence Framework (TEF)</w:t>
            </w:r>
          </w:p>
          <w:p w:rsidR="007D03E2" w:rsidRPr="00A431C5" w:rsidRDefault="002C79AA" w:rsidP="007D03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 Vice-Chancellor </w:t>
            </w:r>
            <w:r w:rsidR="007D03E2" w:rsidRPr="00A431C5">
              <w:rPr>
                <w:rFonts w:ascii="Arial" w:hAnsi="Arial" w:cs="Arial"/>
              </w:rPr>
              <w:t xml:space="preserve">informed </w:t>
            </w:r>
            <w:r>
              <w:rPr>
                <w:rFonts w:ascii="Arial" w:hAnsi="Arial" w:cs="Arial"/>
              </w:rPr>
              <w:t xml:space="preserve">members </w:t>
            </w:r>
            <w:r w:rsidR="007D03E2" w:rsidRPr="00A431C5">
              <w:rPr>
                <w:rFonts w:ascii="Arial" w:hAnsi="Arial" w:cs="Arial"/>
              </w:rPr>
              <w:t xml:space="preserve">that the landscape for the TEF was unclear </w:t>
            </w:r>
            <w:r w:rsidR="00B0694C">
              <w:rPr>
                <w:rFonts w:ascii="Arial" w:hAnsi="Arial" w:cs="Arial"/>
              </w:rPr>
              <w:t xml:space="preserve">following </w:t>
            </w:r>
            <w:r w:rsidR="00A431C5" w:rsidRPr="00A431C5">
              <w:rPr>
                <w:rFonts w:ascii="Arial" w:hAnsi="Arial" w:cs="Arial"/>
              </w:rPr>
              <w:t xml:space="preserve">Dame Shirley Pearce’s Review. </w:t>
            </w:r>
            <w:r w:rsidR="00A431C5" w:rsidRPr="00D6392A">
              <w:rPr>
                <w:rFonts w:ascii="Arial" w:hAnsi="Arial" w:cs="Arial"/>
              </w:rPr>
              <w:t>Consequently</w:t>
            </w:r>
            <w:r w:rsidR="001169A6" w:rsidRPr="00D6392A">
              <w:rPr>
                <w:rFonts w:ascii="Arial" w:hAnsi="Arial" w:cs="Arial"/>
              </w:rPr>
              <w:t>,</w:t>
            </w:r>
            <w:r w:rsidR="00A431C5" w:rsidRPr="00D6392A">
              <w:rPr>
                <w:rFonts w:ascii="Arial" w:hAnsi="Arial" w:cs="Arial"/>
              </w:rPr>
              <w:t xml:space="preserve"> t</w:t>
            </w:r>
            <w:r w:rsidR="004B2340" w:rsidRPr="00D6392A">
              <w:rPr>
                <w:rFonts w:ascii="Arial" w:hAnsi="Arial" w:cs="Arial"/>
              </w:rPr>
              <w:t xml:space="preserve">he University </w:t>
            </w:r>
            <w:r w:rsidR="00B8330B" w:rsidRPr="00D6392A">
              <w:rPr>
                <w:rFonts w:ascii="Arial" w:hAnsi="Arial" w:cs="Arial"/>
              </w:rPr>
              <w:t xml:space="preserve">was preparing to submit to </w:t>
            </w:r>
            <w:r w:rsidR="004B2340" w:rsidRPr="00D6392A">
              <w:rPr>
                <w:rFonts w:ascii="Arial" w:hAnsi="Arial" w:cs="Arial"/>
              </w:rPr>
              <w:t>the</w:t>
            </w:r>
            <w:r w:rsidR="007D03E2" w:rsidRPr="00D6392A">
              <w:rPr>
                <w:rFonts w:ascii="Arial" w:hAnsi="Arial" w:cs="Arial"/>
              </w:rPr>
              <w:t xml:space="preserve"> subject TEF </w:t>
            </w:r>
            <w:r w:rsidR="00A431C5" w:rsidRPr="00D6392A">
              <w:rPr>
                <w:rFonts w:ascii="Arial" w:hAnsi="Arial" w:cs="Arial"/>
              </w:rPr>
              <w:t>in M</w:t>
            </w:r>
            <w:r w:rsidR="007D03E2" w:rsidRPr="00D6392A">
              <w:rPr>
                <w:rFonts w:ascii="Arial" w:hAnsi="Arial" w:cs="Arial"/>
              </w:rPr>
              <w:t xml:space="preserve">arch </w:t>
            </w:r>
            <w:r w:rsidR="00B0694C" w:rsidRPr="00D6392A">
              <w:rPr>
                <w:rFonts w:ascii="Arial" w:hAnsi="Arial" w:cs="Arial"/>
              </w:rPr>
              <w:t>2020, as per the original timescale</w:t>
            </w:r>
            <w:r w:rsidR="00E86DE2" w:rsidRPr="00D6392A">
              <w:rPr>
                <w:rFonts w:ascii="Arial" w:hAnsi="Arial" w:cs="Arial"/>
              </w:rPr>
              <w:t xml:space="preserve"> and a draft institutional submission was also prepared. </w:t>
            </w:r>
            <w:r w:rsidR="00A72E43" w:rsidRPr="00D6392A">
              <w:rPr>
                <w:rFonts w:ascii="Arial" w:hAnsi="Arial" w:cs="Arial"/>
              </w:rPr>
              <w:t>U</w:t>
            </w:r>
            <w:r w:rsidR="00A431C5" w:rsidRPr="00D6392A">
              <w:rPr>
                <w:rFonts w:ascii="Arial" w:hAnsi="Arial" w:cs="Arial"/>
              </w:rPr>
              <w:t>sing TEF</w:t>
            </w:r>
            <w:r w:rsidR="0078520F" w:rsidRPr="00D6392A">
              <w:rPr>
                <w:rFonts w:ascii="Arial" w:hAnsi="Arial" w:cs="Arial"/>
              </w:rPr>
              <w:t>-based</w:t>
            </w:r>
            <w:r w:rsidR="00A431C5" w:rsidRPr="00D6392A">
              <w:rPr>
                <w:rFonts w:ascii="Arial" w:hAnsi="Arial" w:cs="Arial"/>
              </w:rPr>
              <w:t xml:space="preserve"> algorithms, </w:t>
            </w:r>
            <w:r w:rsidR="00A72E43" w:rsidRPr="00D6392A">
              <w:rPr>
                <w:rFonts w:ascii="Arial" w:hAnsi="Arial" w:cs="Arial"/>
              </w:rPr>
              <w:t>analysis showed</w:t>
            </w:r>
            <w:r w:rsidR="0078520F" w:rsidRPr="00D6392A">
              <w:rPr>
                <w:rFonts w:ascii="Arial" w:hAnsi="Arial" w:cs="Arial"/>
              </w:rPr>
              <w:t xml:space="preserve"> that </w:t>
            </w:r>
            <w:r w:rsidR="007D03E2" w:rsidRPr="00D6392A">
              <w:rPr>
                <w:rFonts w:ascii="Arial" w:hAnsi="Arial" w:cs="Arial"/>
              </w:rPr>
              <w:t xml:space="preserve">retention </w:t>
            </w:r>
            <w:r w:rsidR="00A431C5" w:rsidRPr="00D6392A">
              <w:rPr>
                <w:rFonts w:ascii="Arial" w:hAnsi="Arial" w:cs="Arial"/>
              </w:rPr>
              <w:t xml:space="preserve">has </w:t>
            </w:r>
            <w:r w:rsidR="00A72E43" w:rsidRPr="00D6392A">
              <w:rPr>
                <w:rFonts w:ascii="Arial" w:hAnsi="Arial" w:cs="Arial"/>
              </w:rPr>
              <w:t>improved</w:t>
            </w:r>
            <w:r w:rsidR="007D03E2" w:rsidRPr="00D6392A">
              <w:rPr>
                <w:rFonts w:ascii="Arial" w:hAnsi="Arial" w:cs="Arial"/>
              </w:rPr>
              <w:t xml:space="preserve"> </w:t>
            </w:r>
            <w:r w:rsidR="00A431C5" w:rsidRPr="00D6392A">
              <w:rPr>
                <w:rFonts w:ascii="Arial" w:hAnsi="Arial" w:cs="Arial"/>
              </w:rPr>
              <w:t>in comparison with 2015-16</w:t>
            </w:r>
            <w:r w:rsidR="00B0694C" w:rsidRPr="00D6392A">
              <w:rPr>
                <w:rFonts w:ascii="Arial" w:hAnsi="Arial" w:cs="Arial"/>
              </w:rPr>
              <w:t xml:space="preserve"> results</w:t>
            </w:r>
            <w:r w:rsidR="007D03E2" w:rsidRPr="00D6392A">
              <w:rPr>
                <w:rFonts w:ascii="Arial" w:hAnsi="Arial" w:cs="Arial"/>
              </w:rPr>
              <w:t>.</w:t>
            </w:r>
          </w:p>
          <w:p w:rsidR="001169A6" w:rsidRDefault="001169A6" w:rsidP="007D03E2">
            <w:pPr>
              <w:rPr>
                <w:rFonts w:ascii="Arial" w:hAnsi="Arial" w:cs="Arial"/>
                <w:b/>
              </w:rPr>
            </w:pPr>
          </w:p>
          <w:p w:rsidR="00A431C5" w:rsidRPr="001169A6" w:rsidRDefault="001169A6" w:rsidP="007D03E2">
            <w:pPr>
              <w:rPr>
                <w:rFonts w:ascii="Arial" w:hAnsi="Arial" w:cs="Arial"/>
                <w:b/>
              </w:rPr>
            </w:pPr>
            <w:r w:rsidRPr="001169A6">
              <w:rPr>
                <w:rFonts w:ascii="Arial" w:hAnsi="Arial" w:cs="Arial"/>
                <w:b/>
              </w:rPr>
              <w:t>Attainment</w:t>
            </w:r>
          </w:p>
          <w:p w:rsidR="00A72E43" w:rsidRDefault="002C79AA" w:rsidP="00A72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Pro Vice-Chancellor updated m</w:t>
            </w:r>
            <w:r w:rsidR="00132102" w:rsidRPr="006F0383">
              <w:rPr>
                <w:rFonts w:ascii="Arial" w:hAnsi="Arial" w:cs="Arial"/>
              </w:rPr>
              <w:t xml:space="preserve">embers on the initiative to </w:t>
            </w:r>
            <w:r w:rsidR="00A72E43">
              <w:rPr>
                <w:rFonts w:ascii="Arial" w:hAnsi="Arial" w:cs="Arial"/>
              </w:rPr>
              <w:t>close</w:t>
            </w:r>
            <w:r w:rsidR="00A72E43" w:rsidRPr="006F0383">
              <w:rPr>
                <w:rFonts w:ascii="Arial" w:hAnsi="Arial" w:cs="Arial"/>
              </w:rPr>
              <w:t xml:space="preserve"> </w:t>
            </w:r>
            <w:r w:rsidR="00132102" w:rsidRPr="006F0383">
              <w:rPr>
                <w:rFonts w:ascii="Arial" w:hAnsi="Arial" w:cs="Arial"/>
              </w:rPr>
              <w:t>the attainment gap</w:t>
            </w:r>
            <w:r w:rsidR="00A72E43">
              <w:rPr>
                <w:rFonts w:ascii="Arial" w:hAnsi="Arial" w:cs="Arial"/>
              </w:rPr>
              <w:t>.  Analysis had been undertaken to disaggregate attainment data at school and course level</w:t>
            </w:r>
            <w:r w:rsidR="00245CA6">
              <w:rPr>
                <w:rFonts w:ascii="Arial" w:hAnsi="Arial" w:cs="Arial"/>
              </w:rPr>
              <w:t>, although it was difficult to extra</w:t>
            </w:r>
            <w:r w:rsidR="00A96106">
              <w:rPr>
                <w:rFonts w:ascii="Arial" w:hAnsi="Arial" w:cs="Arial"/>
              </w:rPr>
              <w:t>ct more meaningful data due to the</w:t>
            </w:r>
            <w:r w:rsidR="00245CA6">
              <w:rPr>
                <w:rFonts w:ascii="Arial" w:hAnsi="Arial" w:cs="Arial"/>
              </w:rPr>
              <w:t xml:space="preserve"> large number of variables</w:t>
            </w:r>
            <w:r w:rsidR="00A72E43">
              <w:rPr>
                <w:rFonts w:ascii="Arial" w:hAnsi="Arial" w:cs="Arial"/>
              </w:rPr>
              <w:t xml:space="preserve">. </w:t>
            </w:r>
          </w:p>
          <w:p w:rsidR="00276881" w:rsidRDefault="00276881" w:rsidP="007D03E2">
            <w:pPr>
              <w:rPr>
                <w:rFonts w:ascii="Arial" w:hAnsi="Arial" w:cs="Arial"/>
              </w:rPr>
            </w:pPr>
          </w:p>
          <w:p w:rsidR="00D6392A" w:rsidRPr="00D6392A" w:rsidRDefault="00276881" w:rsidP="00D6392A">
            <w:pPr>
              <w:rPr>
                <w:rFonts w:ascii="Arial" w:hAnsi="Arial" w:cs="Arial"/>
              </w:rPr>
            </w:pPr>
            <w:r w:rsidRPr="00D6392A">
              <w:rPr>
                <w:rFonts w:ascii="Arial" w:hAnsi="Arial" w:cs="Arial"/>
              </w:rPr>
              <w:t>A substantial discussion was held around the topic of different attainment</w:t>
            </w:r>
            <w:r w:rsidR="00132102" w:rsidRPr="00D6392A">
              <w:rPr>
                <w:rFonts w:ascii="Arial" w:hAnsi="Arial" w:cs="Arial"/>
              </w:rPr>
              <w:t xml:space="preserve"> between students</w:t>
            </w:r>
            <w:r w:rsidRPr="00D6392A">
              <w:rPr>
                <w:rFonts w:ascii="Arial" w:hAnsi="Arial" w:cs="Arial"/>
              </w:rPr>
              <w:t xml:space="preserve"> and how that related to those living within an a</w:t>
            </w:r>
            <w:r w:rsidR="008842E2">
              <w:rPr>
                <w:rFonts w:ascii="Arial" w:hAnsi="Arial" w:cs="Arial"/>
              </w:rPr>
              <w:t>rea of multiple deprivation. This could be mapped</w:t>
            </w:r>
            <w:r w:rsidRPr="00D6392A">
              <w:rPr>
                <w:rFonts w:ascii="Arial" w:hAnsi="Arial" w:cs="Arial"/>
              </w:rPr>
              <w:t xml:space="preserve"> though the Index of Multiple Deprivation (IMD)</w:t>
            </w:r>
            <w:r w:rsidR="008842E2">
              <w:rPr>
                <w:rFonts w:ascii="Arial" w:hAnsi="Arial" w:cs="Arial"/>
              </w:rPr>
              <w:t>,</w:t>
            </w:r>
            <w:r w:rsidRPr="00D6392A">
              <w:rPr>
                <w:rFonts w:ascii="Arial" w:hAnsi="Arial" w:cs="Arial"/>
              </w:rPr>
              <w:t xml:space="preserve"> which is the official measure of relative deprivations for small areas or neighbourhoods in England. </w:t>
            </w:r>
            <w:r w:rsidR="00B52B4B">
              <w:rPr>
                <w:rFonts w:ascii="Arial" w:hAnsi="Arial" w:cs="Arial"/>
              </w:rPr>
              <w:t>The</w:t>
            </w:r>
            <w:r w:rsidR="008842E2">
              <w:rPr>
                <w:rFonts w:ascii="Arial" w:hAnsi="Arial" w:cs="Arial"/>
              </w:rPr>
              <w:t xml:space="preserve"> University wa</w:t>
            </w:r>
            <w:r w:rsidR="00D6392A" w:rsidRPr="00D6392A">
              <w:rPr>
                <w:rFonts w:ascii="Arial" w:hAnsi="Arial" w:cs="Arial"/>
              </w:rPr>
              <w:t>s committed to removing statistically significant attainment gaps over the period of the current Strategy Map th</w:t>
            </w:r>
            <w:r w:rsidR="00051265">
              <w:rPr>
                <w:rFonts w:ascii="Arial" w:hAnsi="Arial" w:cs="Arial"/>
              </w:rPr>
              <w:t>rough a variety of initiatives.</w:t>
            </w:r>
          </w:p>
          <w:p w:rsidR="00CC11A8" w:rsidRDefault="00CC11A8" w:rsidP="007D03E2">
            <w:pPr>
              <w:rPr>
                <w:rFonts w:ascii="Arial" w:hAnsi="Arial" w:cs="Arial"/>
              </w:rPr>
            </w:pPr>
          </w:p>
          <w:p w:rsidR="006F0383" w:rsidRPr="009E6BE6" w:rsidRDefault="006F0383" w:rsidP="007D03E2">
            <w:pPr>
              <w:rPr>
                <w:rFonts w:ascii="Arial" w:hAnsi="Arial" w:cs="Arial"/>
              </w:rPr>
            </w:pPr>
            <w:r w:rsidRPr="00A63504">
              <w:rPr>
                <w:rFonts w:ascii="Arial" w:hAnsi="Arial" w:cs="Arial"/>
                <w:b/>
              </w:rPr>
              <w:t>Teaching and Learning Projects</w:t>
            </w:r>
          </w:p>
          <w:p w:rsidR="007D03E2" w:rsidRDefault="006F0383" w:rsidP="00A63504">
            <w:pPr>
              <w:rPr>
                <w:rFonts w:ascii="Arial" w:hAnsi="Arial" w:cs="Arial"/>
              </w:rPr>
            </w:pPr>
            <w:r w:rsidRPr="00A63504">
              <w:rPr>
                <w:rFonts w:ascii="Arial" w:hAnsi="Arial" w:cs="Arial"/>
              </w:rPr>
              <w:t>T</w:t>
            </w:r>
            <w:r w:rsidR="00A63504" w:rsidRPr="00A63504">
              <w:rPr>
                <w:rFonts w:ascii="Arial" w:hAnsi="Arial" w:cs="Arial"/>
              </w:rPr>
              <w:t xml:space="preserve">he Pro Vice-Chancellor informed members </w:t>
            </w:r>
            <w:r w:rsidR="00B8330B" w:rsidRPr="00A63504">
              <w:rPr>
                <w:rFonts w:ascii="Arial" w:hAnsi="Arial" w:cs="Arial"/>
              </w:rPr>
              <w:t>o</w:t>
            </w:r>
            <w:r w:rsidR="00B8330B">
              <w:rPr>
                <w:rFonts w:ascii="Arial" w:hAnsi="Arial" w:cs="Arial"/>
              </w:rPr>
              <w:t>f</w:t>
            </w:r>
            <w:r w:rsidR="00B8330B" w:rsidRPr="00A63504">
              <w:rPr>
                <w:rFonts w:ascii="Arial" w:hAnsi="Arial" w:cs="Arial"/>
              </w:rPr>
              <w:t xml:space="preserve"> </w:t>
            </w:r>
            <w:r w:rsidR="00A63504" w:rsidRPr="00A63504">
              <w:rPr>
                <w:rFonts w:ascii="Arial" w:hAnsi="Arial" w:cs="Arial"/>
              </w:rPr>
              <w:t xml:space="preserve">a </w:t>
            </w:r>
            <w:r w:rsidR="00B8330B">
              <w:rPr>
                <w:rFonts w:ascii="Arial" w:hAnsi="Arial" w:cs="Arial"/>
              </w:rPr>
              <w:t>wide range</w:t>
            </w:r>
            <w:r w:rsidR="00B8330B" w:rsidRPr="00A63504">
              <w:rPr>
                <w:rFonts w:ascii="Arial" w:hAnsi="Arial" w:cs="Arial"/>
              </w:rPr>
              <w:t xml:space="preserve"> </w:t>
            </w:r>
            <w:r w:rsidR="00CC11A8">
              <w:rPr>
                <w:rFonts w:ascii="Arial" w:hAnsi="Arial" w:cs="Arial"/>
              </w:rPr>
              <w:t>of</w:t>
            </w:r>
            <w:r w:rsidR="00A63504" w:rsidRPr="00A63504">
              <w:rPr>
                <w:rFonts w:ascii="Arial" w:hAnsi="Arial" w:cs="Arial"/>
              </w:rPr>
              <w:t xml:space="preserve"> projects which </w:t>
            </w:r>
            <w:r w:rsidR="009D7741">
              <w:rPr>
                <w:rFonts w:ascii="Arial" w:hAnsi="Arial" w:cs="Arial"/>
              </w:rPr>
              <w:t>w</w:t>
            </w:r>
            <w:r w:rsidR="00B8330B">
              <w:rPr>
                <w:rFonts w:ascii="Arial" w:hAnsi="Arial" w:cs="Arial"/>
              </w:rPr>
              <w:t xml:space="preserve">ould support the University to deliver </w:t>
            </w:r>
            <w:r w:rsidR="00A63504" w:rsidRPr="00A63504">
              <w:rPr>
                <w:rFonts w:ascii="Arial" w:hAnsi="Arial" w:cs="Arial"/>
              </w:rPr>
              <w:t>on Key Performance</w:t>
            </w:r>
            <w:r w:rsidR="002C79AA">
              <w:rPr>
                <w:rFonts w:ascii="Arial" w:hAnsi="Arial" w:cs="Arial"/>
              </w:rPr>
              <w:t xml:space="preserve"> Indicators.</w:t>
            </w:r>
          </w:p>
          <w:p w:rsidR="00CC11A8" w:rsidRDefault="00CC11A8" w:rsidP="00A63504">
            <w:pPr>
              <w:rPr>
                <w:rFonts w:ascii="Arial" w:hAnsi="Arial" w:cs="Arial"/>
              </w:rPr>
            </w:pPr>
          </w:p>
          <w:p w:rsidR="00A63504" w:rsidRPr="00A63504" w:rsidRDefault="00A63504" w:rsidP="00A63504">
            <w:pPr>
              <w:rPr>
                <w:rFonts w:ascii="Arial" w:eastAsia="Times New Roman" w:hAnsi="Arial" w:cs="Arial"/>
                <w:b/>
              </w:rPr>
            </w:pPr>
            <w:r w:rsidRPr="00A63504">
              <w:rPr>
                <w:rFonts w:ascii="Arial" w:eastAsia="Times New Roman" w:hAnsi="Arial" w:cs="Arial"/>
                <w:b/>
              </w:rPr>
              <w:t>University Teaching and Learning Committee</w:t>
            </w:r>
          </w:p>
          <w:p w:rsidR="001F44A6" w:rsidRDefault="00A63504" w:rsidP="00CC11A8">
            <w:pPr>
              <w:keepLines/>
              <w:widowControl w:val="0"/>
              <w:rPr>
                <w:rFonts w:ascii="Arial" w:hAnsi="Arial" w:cs="Arial"/>
              </w:rPr>
            </w:pPr>
            <w:r w:rsidRPr="002C79AA">
              <w:rPr>
                <w:rFonts w:ascii="Arial" w:hAnsi="Arial" w:cs="Arial"/>
              </w:rPr>
              <w:t>The summary of the 25 September 201</w:t>
            </w:r>
            <w:r w:rsidR="00073F3C" w:rsidRPr="002C79AA">
              <w:rPr>
                <w:rFonts w:ascii="Arial" w:hAnsi="Arial" w:cs="Arial"/>
              </w:rPr>
              <w:t>9</w:t>
            </w:r>
            <w:r w:rsidRPr="002C79AA">
              <w:rPr>
                <w:rFonts w:ascii="Arial" w:hAnsi="Arial" w:cs="Arial"/>
              </w:rPr>
              <w:t xml:space="preserve"> meeting was noted. </w:t>
            </w:r>
          </w:p>
          <w:p w:rsidR="001F44A6" w:rsidRPr="00E857A4" w:rsidRDefault="001F44A6" w:rsidP="00A63504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E857A4" w:rsidRDefault="00E857A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  <w:p w:rsidR="00C7726C" w:rsidRDefault="00C7726C" w:rsidP="00D6392A">
            <w:pPr>
              <w:rPr>
                <w:rFonts w:ascii="Arial" w:hAnsi="Arial" w:cs="Arial"/>
              </w:rPr>
            </w:pPr>
          </w:p>
          <w:p w:rsidR="002C4A34" w:rsidRDefault="002C4A34" w:rsidP="00342CE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SEN_2019_11_05_P11.5</w:t>
            </w:r>
          </w:p>
          <w:p w:rsidR="002C4A34" w:rsidRDefault="002C4A34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A63504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A63504" w:rsidRPr="002C4A34" w:rsidRDefault="00A63504" w:rsidP="002C4A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12.1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12.2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12.3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342CE2" w:rsidRDefault="00342CE2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342CE2" w:rsidRPr="002C4A34" w:rsidRDefault="00342CE2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12.4</w:t>
            </w: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8F3016" w:rsidRPr="002C4A34" w:rsidRDefault="008F3016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12.5</w:t>
            </w: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A63504" w:rsidRPr="00073F3C" w:rsidRDefault="00A63504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073F3C">
              <w:rPr>
                <w:rFonts w:ascii="Arial" w:hAnsi="Arial" w:cs="Arial"/>
                <w:b/>
                <w:color w:val="1F4E79" w:themeColor="accent1" w:themeShade="80"/>
              </w:rPr>
              <w:t>REPORTS FROM THE PRO VICE-CHANCELLOR (INTERNATIONAL)</w:t>
            </w:r>
          </w:p>
          <w:p w:rsidR="00073F3C" w:rsidRPr="00962032" w:rsidRDefault="00073F3C" w:rsidP="00073F3C">
            <w:pPr>
              <w:rPr>
                <w:rFonts w:ascii="Arial" w:hAnsi="Arial" w:cs="Arial"/>
                <w:b/>
              </w:rPr>
            </w:pPr>
            <w:r w:rsidRPr="00962032">
              <w:rPr>
                <w:rFonts w:ascii="Arial" w:hAnsi="Arial" w:cs="Arial"/>
                <w:b/>
              </w:rPr>
              <w:t>Update on International Enrolments and Recruitment</w:t>
            </w:r>
          </w:p>
          <w:p w:rsidR="00073F3C" w:rsidRDefault="00073F3C" w:rsidP="0007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D73E3">
              <w:rPr>
                <w:rFonts w:ascii="Arial" w:hAnsi="Arial" w:cs="Arial"/>
              </w:rPr>
              <w:t>Director of International Development</w:t>
            </w:r>
            <w:r>
              <w:rPr>
                <w:rFonts w:ascii="Arial" w:hAnsi="Arial" w:cs="Arial"/>
              </w:rPr>
              <w:t xml:space="preserve"> advised that </w:t>
            </w:r>
            <w:r w:rsidR="004F5E87">
              <w:rPr>
                <w:rFonts w:ascii="Arial" w:hAnsi="Arial" w:cs="Arial"/>
              </w:rPr>
              <w:t xml:space="preserve">international </w:t>
            </w:r>
            <w:r>
              <w:rPr>
                <w:rFonts w:ascii="Arial" w:hAnsi="Arial" w:cs="Arial"/>
              </w:rPr>
              <w:t xml:space="preserve">recruitment </w:t>
            </w:r>
            <w:r w:rsidR="00A04211">
              <w:rPr>
                <w:rFonts w:ascii="Arial" w:hAnsi="Arial" w:cs="Arial"/>
              </w:rPr>
              <w:t>had fallen</w:t>
            </w:r>
            <w:r>
              <w:rPr>
                <w:rFonts w:ascii="Arial" w:hAnsi="Arial" w:cs="Arial"/>
              </w:rPr>
              <w:t xml:space="preserve"> </w:t>
            </w:r>
            <w:r w:rsidR="002339B8">
              <w:rPr>
                <w:rFonts w:ascii="Arial" w:hAnsi="Arial" w:cs="Arial"/>
              </w:rPr>
              <w:t>slightly</w:t>
            </w:r>
            <w:r w:rsidRPr="00073F3C">
              <w:rPr>
                <w:rFonts w:ascii="Arial" w:hAnsi="Arial" w:cs="Arial"/>
              </w:rPr>
              <w:t xml:space="preserve"> </w:t>
            </w:r>
            <w:r w:rsidR="002C79AA">
              <w:rPr>
                <w:rFonts w:ascii="Arial" w:hAnsi="Arial" w:cs="Arial"/>
              </w:rPr>
              <w:t xml:space="preserve">in comparison </w:t>
            </w:r>
            <w:r w:rsidR="004F5E87">
              <w:rPr>
                <w:rFonts w:ascii="Arial" w:hAnsi="Arial" w:cs="Arial"/>
              </w:rPr>
              <w:t>with</w:t>
            </w:r>
            <w:r w:rsidRPr="00073F3C">
              <w:rPr>
                <w:rFonts w:ascii="Arial" w:hAnsi="Arial" w:cs="Arial"/>
              </w:rPr>
              <w:t xml:space="preserve"> </w:t>
            </w:r>
            <w:r w:rsidR="004F5E87">
              <w:rPr>
                <w:rFonts w:ascii="Arial" w:hAnsi="Arial" w:cs="Arial"/>
              </w:rPr>
              <w:t>November 2018</w:t>
            </w:r>
            <w:r w:rsidRPr="00073F3C">
              <w:rPr>
                <w:rFonts w:ascii="Arial" w:hAnsi="Arial" w:cs="Arial"/>
              </w:rPr>
              <w:t>.</w:t>
            </w:r>
          </w:p>
          <w:p w:rsidR="001F44A6" w:rsidRDefault="001F44A6" w:rsidP="00073F3C">
            <w:pPr>
              <w:rPr>
                <w:rFonts w:ascii="Arial" w:hAnsi="Arial" w:cs="Arial"/>
              </w:rPr>
            </w:pPr>
          </w:p>
          <w:p w:rsidR="00E32632" w:rsidRPr="00E32632" w:rsidRDefault="00E32632" w:rsidP="00073F3C">
            <w:pPr>
              <w:rPr>
                <w:rFonts w:ascii="Arial" w:hAnsi="Arial" w:cs="Arial"/>
                <w:b/>
              </w:rPr>
            </w:pPr>
            <w:r w:rsidRPr="00E32632">
              <w:rPr>
                <w:rFonts w:ascii="Arial" w:hAnsi="Arial" w:cs="Arial"/>
                <w:b/>
              </w:rPr>
              <w:t>Update on World University Rankings (KPI)</w:t>
            </w:r>
          </w:p>
          <w:p w:rsidR="009E6BE6" w:rsidRDefault="00ED73E3" w:rsidP="0007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were</w:t>
            </w:r>
            <w:r w:rsidR="002C79AA">
              <w:rPr>
                <w:rFonts w:ascii="Arial" w:hAnsi="Arial" w:cs="Arial"/>
              </w:rPr>
              <w:t xml:space="preserve"> informed that </w:t>
            </w:r>
            <w:r w:rsidR="004F5E87">
              <w:rPr>
                <w:rFonts w:ascii="Arial" w:hAnsi="Arial" w:cs="Arial"/>
              </w:rPr>
              <w:t>discussions had taken place with</w:t>
            </w:r>
            <w:r w:rsidR="00E32632">
              <w:rPr>
                <w:rFonts w:ascii="Arial" w:hAnsi="Arial" w:cs="Arial"/>
              </w:rPr>
              <w:t xml:space="preserve"> </w:t>
            </w:r>
            <w:r w:rsidR="002C79AA">
              <w:rPr>
                <w:rFonts w:ascii="Arial" w:hAnsi="Arial" w:cs="Arial"/>
              </w:rPr>
              <w:t>A</w:t>
            </w:r>
            <w:r w:rsidR="00073F3C" w:rsidRPr="00073F3C">
              <w:rPr>
                <w:rFonts w:ascii="Arial" w:hAnsi="Arial" w:cs="Arial"/>
              </w:rPr>
              <w:t xml:space="preserve">ssociate </w:t>
            </w:r>
            <w:r w:rsidR="002C79AA">
              <w:rPr>
                <w:rFonts w:ascii="Arial" w:hAnsi="Arial" w:cs="Arial"/>
              </w:rPr>
              <w:t>D</w:t>
            </w:r>
            <w:r w:rsidR="00073F3C" w:rsidRPr="00073F3C">
              <w:rPr>
                <w:rFonts w:ascii="Arial" w:hAnsi="Arial" w:cs="Arial"/>
              </w:rPr>
              <w:t xml:space="preserve">eans </w:t>
            </w:r>
            <w:r w:rsidR="009E6BE6">
              <w:rPr>
                <w:rFonts w:ascii="Arial" w:hAnsi="Arial" w:cs="Arial"/>
              </w:rPr>
              <w:t>on the Institution’s ambi</w:t>
            </w:r>
            <w:r w:rsidR="00946806">
              <w:rPr>
                <w:rFonts w:ascii="Arial" w:hAnsi="Arial" w:cs="Arial"/>
              </w:rPr>
              <w:t>tion to be recognised as a world-class academic institution.</w:t>
            </w:r>
          </w:p>
          <w:p w:rsidR="00D6392A" w:rsidRPr="00073F3C" w:rsidRDefault="00D6392A" w:rsidP="00073F3C">
            <w:pPr>
              <w:rPr>
                <w:rFonts w:ascii="Arial" w:hAnsi="Arial" w:cs="Arial"/>
              </w:rPr>
            </w:pPr>
          </w:p>
          <w:p w:rsidR="00962032" w:rsidRPr="00770C63" w:rsidRDefault="00962032" w:rsidP="00073F3C">
            <w:pPr>
              <w:rPr>
                <w:rFonts w:ascii="Arial" w:hAnsi="Arial" w:cs="Arial"/>
                <w:b/>
              </w:rPr>
            </w:pPr>
            <w:r w:rsidRPr="00770C63">
              <w:rPr>
                <w:rFonts w:ascii="Arial" w:hAnsi="Arial" w:cs="Arial"/>
                <w:b/>
              </w:rPr>
              <w:t>Update on International Research partnerships</w:t>
            </w:r>
          </w:p>
          <w:p w:rsidR="00ED73E3" w:rsidRDefault="004F322C" w:rsidP="0007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ED73E3">
              <w:rPr>
                <w:rFonts w:ascii="Arial" w:hAnsi="Arial" w:cs="Arial"/>
              </w:rPr>
              <w:t>Director of International Development explained</w:t>
            </w:r>
            <w:r w:rsidR="00300CE0">
              <w:rPr>
                <w:rFonts w:ascii="Arial" w:hAnsi="Arial" w:cs="Arial"/>
              </w:rPr>
              <w:t xml:space="preserve"> that bids to the strategic international research partnerships fund were to be made by schools through the planning round.</w:t>
            </w:r>
            <w:r>
              <w:rPr>
                <w:rFonts w:ascii="Arial" w:hAnsi="Arial" w:cs="Arial"/>
              </w:rPr>
              <w:t xml:space="preserve"> </w:t>
            </w:r>
          </w:p>
          <w:p w:rsidR="00770C63" w:rsidRDefault="00770C63" w:rsidP="00073F3C">
            <w:pPr>
              <w:rPr>
                <w:rFonts w:ascii="Arial" w:hAnsi="Arial" w:cs="Arial"/>
              </w:rPr>
            </w:pPr>
          </w:p>
          <w:p w:rsidR="00342CE2" w:rsidRDefault="00342CE2" w:rsidP="00073F3C">
            <w:pPr>
              <w:rPr>
                <w:rFonts w:ascii="Arial" w:hAnsi="Arial" w:cs="Arial"/>
              </w:rPr>
            </w:pPr>
          </w:p>
          <w:p w:rsidR="00342CE2" w:rsidRDefault="00342CE2" w:rsidP="00073F3C">
            <w:pPr>
              <w:rPr>
                <w:rFonts w:ascii="Arial" w:hAnsi="Arial" w:cs="Arial"/>
              </w:rPr>
            </w:pPr>
          </w:p>
          <w:p w:rsidR="00962032" w:rsidRPr="00770C63" w:rsidRDefault="00770C63" w:rsidP="00073F3C">
            <w:pPr>
              <w:rPr>
                <w:rFonts w:ascii="Arial" w:hAnsi="Arial" w:cs="Arial"/>
                <w:b/>
              </w:rPr>
            </w:pPr>
            <w:r w:rsidRPr="00770C63">
              <w:rPr>
                <w:rFonts w:ascii="Arial" w:hAnsi="Arial" w:cs="Arial"/>
                <w:b/>
              </w:rPr>
              <w:t>Update on International S</w:t>
            </w:r>
            <w:r w:rsidR="00962032" w:rsidRPr="00770C63">
              <w:rPr>
                <w:rFonts w:ascii="Arial" w:hAnsi="Arial" w:cs="Arial"/>
                <w:b/>
              </w:rPr>
              <w:t xml:space="preserve">tudent </w:t>
            </w:r>
            <w:r w:rsidRPr="00770C63">
              <w:rPr>
                <w:rFonts w:ascii="Arial" w:hAnsi="Arial" w:cs="Arial"/>
                <w:b/>
              </w:rPr>
              <w:t>E</w:t>
            </w:r>
            <w:r w:rsidR="00962032" w:rsidRPr="00770C63">
              <w:rPr>
                <w:rFonts w:ascii="Arial" w:hAnsi="Arial" w:cs="Arial"/>
                <w:b/>
              </w:rPr>
              <w:t>xperience</w:t>
            </w:r>
          </w:p>
          <w:p w:rsidR="00A63504" w:rsidRDefault="00ED73E3" w:rsidP="00073F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were</w:t>
            </w:r>
            <w:r w:rsidR="004F322C">
              <w:rPr>
                <w:rFonts w:ascii="Arial" w:hAnsi="Arial" w:cs="Arial"/>
              </w:rPr>
              <w:t xml:space="preserve"> informed that a</w:t>
            </w:r>
            <w:r w:rsidR="00553FE0">
              <w:rPr>
                <w:rFonts w:ascii="Arial" w:hAnsi="Arial" w:cs="Arial"/>
              </w:rPr>
              <w:t xml:space="preserve"> report on </w:t>
            </w:r>
            <w:r w:rsidR="004F322C">
              <w:rPr>
                <w:rFonts w:ascii="Arial" w:hAnsi="Arial" w:cs="Arial"/>
              </w:rPr>
              <w:t xml:space="preserve">international </w:t>
            </w:r>
            <w:r w:rsidR="00553FE0">
              <w:rPr>
                <w:rFonts w:ascii="Arial" w:hAnsi="Arial" w:cs="Arial"/>
              </w:rPr>
              <w:t>s</w:t>
            </w:r>
            <w:r w:rsidR="00073F3C" w:rsidRPr="00073F3C">
              <w:rPr>
                <w:rFonts w:ascii="Arial" w:hAnsi="Arial" w:cs="Arial"/>
              </w:rPr>
              <w:t>tudent experience</w:t>
            </w:r>
            <w:r w:rsidR="00300CE0">
              <w:rPr>
                <w:rFonts w:ascii="Arial" w:hAnsi="Arial" w:cs="Arial"/>
              </w:rPr>
              <w:t>s</w:t>
            </w:r>
            <w:r w:rsidR="00073F3C" w:rsidRPr="00073F3C">
              <w:rPr>
                <w:rFonts w:ascii="Arial" w:hAnsi="Arial" w:cs="Arial"/>
              </w:rPr>
              <w:t xml:space="preserve"> </w:t>
            </w:r>
            <w:r w:rsidR="004F322C">
              <w:rPr>
                <w:rFonts w:ascii="Arial" w:hAnsi="Arial" w:cs="Arial"/>
              </w:rPr>
              <w:t xml:space="preserve">had been </w:t>
            </w:r>
            <w:r w:rsidR="00073F3C" w:rsidRPr="00073F3C">
              <w:rPr>
                <w:rFonts w:ascii="Arial" w:hAnsi="Arial" w:cs="Arial"/>
              </w:rPr>
              <w:t xml:space="preserve">circulated to </w:t>
            </w:r>
            <w:r w:rsidR="004F322C">
              <w:rPr>
                <w:rFonts w:ascii="Arial" w:hAnsi="Arial" w:cs="Arial"/>
              </w:rPr>
              <w:t>A</w:t>
            </w:r>
            <w:r w:rsidR="00073F3C" w:rsidRPr="00073F3C">
              <w:rPr>
                <w:rFonts w:ascii="Arial" w:hAnsi="Arial" w:cs="Arial"/>
              </w:rPr>
              <w:t xml:space="preserve">ssociate </w:t>
            </w:r>
            <w:r w:rsidR="004F322C">
              <w:rPr>
                <w:rFonts w:ascii="Arial" w:hAnsi="Arial" w:cs="Arial"/>
              </w:rPr>
              <w:t>D</w:t>
            </w:r>
            <w:r w:rsidR="00073F3C" w:rsidRPr="00073F3C">
              <w:rPr>
                <w:rFonts w:ascii="Arial" w:hAnsi="Arial" w:cs="Arial"/>
              </w:rPr>
              <w:t>eans</w:t>
            </w:r>
            <w:r w:rsidR="00553FE0">
              <w:rPr>
                <w:rFonts w:ascii="Arial" w:hAnsi="Arial" w:cs="Arial"/>
              </w:rPr>
              <w:t xml:space="preserve">. </w:t>
            </w:r>
            <w:r w:rsidR="00300CE0">
              <w:rPr>
                <w:rFonts w:ascii="Arial" w:hAnsi="Arial" w:cs="Arial"/>
              </w:rPr>
              <w:t>The International Student Experience Group would look to use the Sa</w:t>
            </w:r>
            <w:r w:rsidR="009E6BE6">
              <w:rPr>
                <w:rFonts w:ascii="Arial" w:hAnsi="Arial" w:cs="Arial"/>
              </w:rPr>
              <w:t>ntander Mobility Fund in enhancing</w:t>
            </w:r>
            <w:r w:rsidR="00300CE0">
              <w:rPr>
                <w:rFonts w:ascii="Arial" w:hAnsi="Arial" w:cs="Arial"/>
              </w:rPr>
              <w:t xml:space="preserve"> the student experience.</w:t>
            </w:r>
          </w:p>
          <w:p w:rsidR="009475B3" w:rsidRDefault="009475B3" w:rsidP="00073F3C">
            <w:pPr>
              <w:rPr>
                <w:rFonts w:ascii="Arial" w:hAnsi="Arial" w:cs="Arial"/>
              </w:rPr>
            </w:pPr>
          </w:p>
          <w:p w:rsidR="00962032" w:rsidRPr="009475B3" w:rsidRDefault="00962032" w:rsidP="00073F3C">
            <w:pPr>
              <w:rPr>
                <w:rFonts w:ascii="Arial" w:hAnsi="Arial" w:cs="Arial"/>
                <w:b/>
              </w:rPr>
            </w:pPr>
            <w:r w:rsidRPr="009475B3">
              <w:rPr>
                <w:rFonts w:ascii="Arial" w:hAnsi="Arial" w:cs="Arial"/>
                <w:b/>
              </w:rPr>
              <w:t xml:space="preserve">University International Committee Summary </w:t>
            </w:r>
          </w:p>
          <w:p w:rsidR="00A63504" w:rsidRDefault="00962032" w:rsidP="009475B3">
            <w:pPr>
              <w:rPr>
                <w:rFonts w:ascii="Arial" w:hAnsi="Arial" w:cs="Arial"/>
              </w:rPr>
            </w:pPr>
            <w:r w:rsidRPr="00962032">
              <w:rPr>
                <w:rFonts w:ascii="Arial" w:hAnsi="Arial" w:cs="Arial"/>
              </w:rPr>
              <w:t>The summary of the 1</w:t>
            </w:r>
            <w:r w:rsidR="009475B3">
              <w:rPr>
                <w:rFonts w:ascii="Arial" w:hAnsi="Arial" w:cs="Arial"/>
              </w:rPr>
              <w:t>6</w:t>
            </w:r>
            <w:r w:rsidRPr="00962032">
              <w:rPr>
                <w:rFonts w:ascii="Arial" w:hAnsi="Arial" w:cs="Arial"/>
              </w:rPr>
              <w:t xml:space="preserve"> October 201</w:t>
            </w:r>
            <w:r w:rsidR="009475B3">
              <w:rPr>
                <w:rFonts w:ascii="Arial" w:hAnsi="Arial" w:cs="Arial"/>
              </w:rPr>
              <w:t>9</w:t>
            </w:r>
            <w:r w:rsidRPr="00962032">
              <w:rPr>
                <w:rFonts w:ascii="Arial" w:hAnsi="Arial" w:cs="Arial"/>
              </w:rPr>
              <w:t xml:space="preserve"> meeting was noted.</w:t>
            </w:r>
          </w:p>
          <w:p w:rsidR="009475B3" w:rsidRPr="00962032" w:rsidRDefault="009475B3" w:rsidP="009475B3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A63504" w:rsidRDefault="00A63504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1F44A6">
            <w:pPr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10227E" w:rsidRDefault="0010227E" w:rsidP="008842E2">
            <w:pPr>
              <w:jc w:val="center"/>
              <w:rPr>
                <w:rFonts w:ascii="Arial" w:hAnsi="Arial" w:cs="Arial"/>
              </w:rPr>
            </w:pPr>
          </w:p>
          <w:p w:rsidR="0010227E" w:rsidRDefault="0010227E" w:rsidP="008842E2">
            <w:pPr>
              <w:jc w:val="center"/>
              <w:rPr>
                <w:rFonts w:ascii="Arial" w:hAnsi="Arial" w:cs="Arial"/>
              </w:rPr>
            </w:pPr>
          </w:p>
          <w:p w:rsidR="009C279E" w:rsidRDefault="009C279E" w:rsidP="008842E2">
            <w:pPr>
              <w:jc w:val="center"/>
              <w:rPr>
                <w:rFonts w:ascii="Arial" w:hAnsi="Arial" w:cs="Arial"/>
              </w:rPr>
            </w:pPr>
            <w:r w:rsidRPr="00090B4E">
              <w:rPr>
                <w:rFonts w:ascii="Arial" w:hAnsi="Arial" w:cs="Arial"/>
              </w:rPr>
              <w:t>SEN_2019_11_05_P12.5</w:t>
            </w:r>
          </w:p>
        </w:tc>
      </w:tr>
      <w:tr w:rsidR="009475B3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9475B3" w:rsidRPr="002C4A34" w:rsidRDefault="009475B3" w:rsidP="002C4A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13.1</w:t>
            </w: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13.2</w:t>
            </w: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  <w:p w:rsidR="002C4A34" w:rsidRPr="002C4A34" w:rsidRDefault="002C4A34" w:rsidP="002C4A34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2C4A34">
              <w:rPr>
                <w:rFonts w:ascii="Arial" w:hAnsi="Arial" w:cs="Arial"/>
                <w:b/>
                <w:color w:val="1F4E79" w:themeColor="accent1" w:themeShade="80"/>
              </w:rPr>
              <w:t>13.3</w:t>
            </w: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9475B3" w:rsidRDefault="009475B3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REPORTS FROM THE PRO VICE-CHANCELLOR (RESEARCH AND ENTERPRISE)</w:t>
            </w:r>
          </w:p>
          <w:p w:rsidR="00EC6DD6" w:rsidRDefault="009475B3" w:rsidP="00584BAA">
            <w:pPr>
              <w:rPr>
                <w:rFonts w:ascii="Arial" w:eastAsia="Times New Roman" w:hAnsi="Arial" w:cs="Arial"/>
                <w:b/>
              </w:rPr>
            </w:pPr>
            <w:r w:rsidRPr="004F322C">
              <w:rPr>
                <w:rFonts w:ascii="Arial" w:eastAsia="Times New Roman" w:hAnsi="Arial" w:cs="Arial"/>
                <w:b/>
              </w:rPr>
              <w:t>Research Integrity Annual Statement</w:t>
            </w:r>
          </w:p>
          <w:p w:rsidR="009475B3" w:rsidRPr="00946806" w:rsidRDefault="00946806" w:rsidP="00584BAA">
            <w:pPr>
              <w:rPr>
                <w:rFonts w:ascii="Arial" w:eastAsia="Times New Roman" w:hAnsi="Arial" w:cs="Arial"/>
              </w:rPr>
            </w:pPr>
            <w:r w:rsidRPr="00946806">
              <w:rPr>
                <w:rFonts w:ascii="Arial" w:eastAsia="Times New Roman" w:hAnsi="Arial" w:cs="Arial"/>
              </w:rPr>
              <w:t>It was no</w:t>
            </w:r>
            <w:r>
              <w:rPr>
                <w:rFonts w:ascii="Arial" w:eastAsia="Times New Roman" w:hAnsi="Arial" w:cs="Arial"/>
              </w:rPr>
              <w:t xml:space="preserve">ted that the </w:t>
            </w:r>
            <w:r w:rsidR="009E6BE6">
              <w:rPr>
                <w:rFonts w:ascii="Arial" w:hAnsi="Arial" w:cs="Arial"/>
              </w:rPr>
              <w:t>Integrity Report</w:t>
            </w:r>
            <w:r w:rsidR="00EC6D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had been </w:t>
            </w:r>
            <w:r w:rsidR="00EC6DD6">
              <w:rPr>
                <w:rFonts w:ascii="Arial" w:hAnsi="Arial" w:cs="Arial"/>
              </w:rPr>
              <w:t>recommended</w:t>
            </w:r>
            <w:r w:rsidR="009475B3" w:rsidRPr="009475B3">
              <w:rPr>
                <w:rFonts w:ascii="Arial" w:hAnsi="Arial" w:cs="Arial"/>
              </w:rPr>
              <w:t xml:space="preserve"> by the Un</w:t>
            </w:r>
            <w:r w:rsidR="00EC6DD6">
              <w:rPr>
                <w:rFonts w:ascii="Arial" w:hAnsi="Arial" w:cs="Arial"/>
              </w:rPr>
              <w:t xml:space="preserve">iversity Research Committee </w:t>
            </w:r>
            <w:r>
              <w:rPr>
                <w:rFonts w:ascii="Arial" w:hAnsi="Arial" w:cs="Arial"/>
              </w:rPr>
              <w:t xml:space="preserve">and that Senate </w:t>
            </w:r>
            <w:r>
              <w:rPr>
                <w:rFonts w:ascii="Arial" w:hAnsi="Arial" w:cs="Arial"/>
                <w:b/>
              </w:rPr>
              <w:t>resolved</w:t>
            </w:r>
            <w:r>
              <w:rPr>
                <w:rFonts w:ascii="Arial" w:hAnsi="Arial" w:cs="Arial"/>
              </w:rPr>
              <w:t xml:space="preserve"> to present it</w:t>
            </w:r>
            <w:r w:rsidR="009475B3" w:rsidRPr="009475B3">
              <w:rPr>
                <w:rFonts w:ascii="Arial" w:hAnsi="Arial" w:cs="Arial"/>
              </w:rPr>
              <w:t xml:space="preserve"> to Audit Committee and University Council.</w:t>
            </w:r>
          </w:p>
          <w:p w:rsidR="004F322C" w:rsidRDefault="004F322C" w:rsidP="00584BAA">
            <w:pPr>
              <w:rPr>
                <w:rFonts w:ascii="Arial" w:eastAsia="Times New Roman" w:hAnsi="Arial" w:cs="Arial"/>
              </w:rPr>
            </w:pPr>
          </w:p>
          <w:p w:rsidR="009475B3" w:rsidRPr="004F322C" w:rsidRDefault="009475B3" w:rsidP="00584BAA">
            <w:pPr>
              <w:rPr>
                <w:rFonts w:ascii="Arial" w:eastAsia="Times New Roman" w:hAnsi="Arial" w:cs="Arial"/>
                <w:b/>
              </w:rPr>
            </w:pPr>
            <w:r w:rsidRPr="004F322C">
              <w:rPr>
                <w:rFonts w:ascii="Arial" w:eastAsia="Times New Roman" w:hAnsi="Arial" w:cs="Arial"/>
                <w:b/>
              </w:rPr>
              <w:t>University Research Committee</w:t>
            </w:r>
          </w:p>
          <w:p w:rsidR="009475B3" w:rsidRPr="009475B3" w:rsidRDefault="009475B3" w:rsidP="00584BAA">
            <w:pPr>
              <w:rPr>
                <w:rFonts w:ascii="Arial" w:eastAsia="Times New Roman" w:hAnsi="Arial" w:cs="Arial"/>
              </w:rPr>
            </w:pPr>
            <w:r w:rsidRPr="009475B3">
              <w:rPr>
                <w:rFonts w:ascii="Arial" w:hAnsi="Arial" w:cs="Arial"/>
              </w:rPr>
              <w:t>The summary of the 17 September 2019 meeting was noted</w:t>
            </w:r>
            <w:r w:rsidR="004F322C">
              <w:rPr>
                <w:rFonts w:ascii="Arial" w:hAnsi="Arial" w:cs="Arial"/>
              </w:rPr>
              <w:t>.</w:t>
            </w:r>
          </w:p>
          <w:p w:rsidR="004F322C" w:rsidRDefault="004F322C" w:rsidP="00584BAA">
            <w:pPr>
              <w:rPr>
                <w:rFonts w:ascii="Arial" w:eastAsia="Times New Roman" w:hAnsi="Arial" w:cs="Arial"/>
              </w:rPr>
            </w:pPr>
          </w:p>
          <w:p w:rsidR="009475B3" w:rsidRPr="004F322C" w:rsidRDefault="009475B3" w:rsidP="00584BAA">
            <w:pPr>
              <w:rPr>
                <w:rFonts w:ascii="Arial" w:eastAsia="Times New Roman" w:hAnsi="Arial" w:cs="Arial"/>
                <w:b/>
              </w:rPr>
            </w:pPr>
            <w:r w:rsidRPr="004F322C">
              <w:rPr>
                <w:rFonts w:ascii="Arial" w:eastAsia="Times New Roman" w:hAnsi="Arial" w:cs="Arial"/>
                <w:b/>
              </w:rPr>
              <w:t>Update on R&amp;E KPI performance</w:t>
            </w:r>
          </w:p>
          <w:p w:rsidR="001F7622" w:rsidRDefault="004F322C" w:rsidP="00874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Pro Vice-Chancellor outlined </w:t>
            </w:r>
            <w:r w:rsidR="00DB5D3F">
              <w:rPr>
                <w:rFonts w:ascii="Arial" w:hAnsi="Arial" w:cs="Arial"/>
              </w:rPr>
              <w:t xml:space="preserve">progress in </w:t>
            </w:r>
            <w:r>
              <w:rPr>
                <w:rFonts w:ascii="Arial" w:hAnsi="Arial" w:cs="Arial"/>
              </w:rPr>
              <w:t>t</w:t>
            </w:r>
            <w:r w:rsidR="009475B3" w:rsidRPr="009475B3">
              <w:rPr>
                <w:rFonts w:ascii="Arial" w:hAnsi="Arial" w:cs="Arial"/>
              </w:rPr>
              <w:t xml:space="preserve">he first year of </w:t>
            </w:r>
            <w:r w:rsidR="00DB5D3F">
              <w:rPr>
                <w:rFonts w:ascii="Arial" w:hAnsi="Arial" w:cs="Arial"/>
              </w:rPr>
              <w:t xml:space="preserve">the </w:t>
            </w:r>
            <w:r w:rsidR="009475B3" w:rsidRPr="009475B3">
              <w:rPr>
                <w:rFonts w:ascii="Arial" w:hAnsi="Arial" w:cs="Arial"/>
              </w:rPr>
              <w:t xml:space="preserve">new strategy map period </w:t>
            </w:r>
            <w:r w:rsidR="00DB5D3F">
              <w:rPr>
                <w:rFonts w:ascii="Arial" w:hAnsi="Arial" w:cs="Arial"/>
              </w:rPr>
              <w:t>against</w:t>
            </w:r>
            <w:r w:rsidR="009475B3" w:rsidRPr="009475B3">
              <w:rPr>
                <w:rFonts w:ascii="Arial" w:hAnsi="Arial" w:cs="Arial"/>
              </w:rPr>
              <w:t xml:space="preserve"> </w:t>
            </w:r>
            <w:r w:rsidR="00DB5D3F">
              <w:rPr>
                <w:rFonts w:ascii="Arial" w:hAnsi="Arial" w:cs="Arial"/>
              </w:rPr>
              <w:t xml:space="preserve">relevant </w:t>
            </w:r>
            <w:r w:rsidR="009475B3" w:rsidRPr="009475B3">
              <w:rPr>
                <w:rFonts w:ascii="Arial" w:hAnsi="Arial" w:cs="Arial"/>
              </w:rPr>
              <w:t>KPIs</w:t>
            </w:r>
            <w:r w:rsidR="00EC6DD6">
              <w:rPr>
                <w:rFonts w:ascii="Arial" w:hAnsi="Arial" w:cs="Arial"/>
              </w:rPr>
              <w:t xml:space="preserve"> and would provide Senate with regular updates</w:t>
            </w:r>
            <w:r w:rsidR="00DB5D3F">
              <w:rPr>
                <w:rFonts w:ascii="Arial" w:hAnsi="Arial" w:cs="Arial"/>
              </w:rPr>
              <w:t xml:space="preserve">. </w:t>
            </w:r>
          </w:p>
          <w:p w:rsidR="00925663" w:rsidRPr="00D6392A" w:rsidRDefault="00925663" w:rsidP="008749A1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9475B3" w:rsidRDefault="009475B3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9C279E">
            <w:pPr>
              <w:rPr>
                <w:rFonts w:ascii="Arial" w:hAnsi="Arial" w:cs="Arial"/>
              </w:rPr>
            </w:pPr>
          </w:p>
          <w:p w:rsidR="00D6392A" w:rsidRDefault="00D6392A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SEN_2019_11_05_P13.1</w:t>
            </w: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184F86" w:rsidRDefault="00184F86" w:rsidP="009C279E">
            <w:pPr>
              <w:rPr>
                <w:rFonts w:ascii="Arial" w:hAnsi="Arial" w:cs="Arial"/>
              </w:rPr>
            </w:pPr>
          </w:p>
          <w:p w:rsidR="009C279E" w:rsidRDefault="009C279E" w:rsidP="009C279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SEN_2019_11_05_P13.2</w:t>
            </w:r>
          </w:p>
          <w:p w:rsidR="009C279E" w:rsidRDefault="009C279E" w:rsidP="00925663">
            <w:pPr>
              <w:rPr>
                <w:rFonts w:ascii="Arial" w:hAnsi="Arial" w:cs="Arial"/>
              </w:rPr>
            </w:pPr>
          </w:p>
          <w:p w:rsidR="001F44A6" w:rsidRPr="001F44A6" w:rsidRDefault="001F44A6" w:rsidP="001F44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SEN_2019_11_05_P13.3</w:t>
            </w:r>
          </w:p>
          <w:p w:rsidR="009C279E" w:rsidRDefault="009C279E" w:rsidP="00584BAA">
            <w:pPr>
              <w:jc w:val="right"/>
              <w:rPr>
                <w:rFonts w:ascii="Arial" w:hAnsi="Arial" w:cs="Arial"/>
              </w:rPr>
            </w:pPr>
          </w:p>
          <w:p w:rsidR="009C279E" w:rsidRDefault="009C279E" w:rsidP="009C279E">
            <w:pPr>
              <w:rPr>
                <w:rFonts w:ascii="Arial" w:hAnsi="Arial" w:cs="Arial"/>
              </w:rPr>
            </w:pPr>
          </w:p>
        </w:tc>
      </w:tr>
      <w:tr w:rsidR="00772037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772037" w:rsidRPr="002C4A34" w:rsidRDefault="00772037" w:rsidP="002C4A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772037" w:rsidRPr="00DA6C7F" w:rsidRDefault="00772037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 w:rsidRPr="00DA6C7F">
              <w:rPr>
                <w:rFonts w:ascii="Arial" w:hAnsi="Arial" w:cs="Arial"/>
                <w:b/>
                <w:color w:val="1F4E79" w:themeColor="accent1" w:themeShade="80"/>
              </w:rPr>
              <w:t>SCHOOL BOARD SUMMARIES</w:t>
            </w:r>
          </w:p>
          <w:p w:rsidR="00772037" w:rsidRPr="00DA6C7F" w:rsidRDefault="00772037" w:rsidP="00584BAA">
            <w:pPr>
              <w:rPr>
                <w:rFonts w:ascii="Arial" w:hAnsi="Arial" w:cs="Arial"/>
              </w:rPr>
            </w:pPr>
            <w:r w:rsidRPr="00DA6C7F">
              <w:rPr>
                <w:rFonts w:ascii="Arial" w:hAnsi="Arial" w:cs="Arial"/>
              </w:rPr>
              <w:t>The summaries of the School Boards were noted.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9C279E" w:rsidRPr="00B83450" w:rsidRDefault="009C279E" w:rsidP="009C279E">
            <w:pPr>
              <w:spacing w:line="276" w:lineRule="auto"/>
              <w:jc w:val="right"/>
              <w:rPr>
                <w:rFonts w:ascii="Arial" w:hAnsi="Arial" w:cs="Arial"/>
              </w:rPr>
            </w:pPr>
            <w:bookmarkStart w:id="0" w:name="_Hlk21774864"/>
            <w:r w:rsidRPr="00B83450">
              <w:rPr>
                <w:rFonts w:ascii="Arial" w:hAnsi="Arial" w:cs="Arial"/>
              </w:rPr>
              <w:t>SEN_2019_11_05_P1</w:t>
            </w:r>
            <w:bookmarkEnd w:id="0"/>
            <w:r w:rsidRPr="00B83450">
              <w:rPr>
                <w:rFonts w:ascii="Arial" w:hAnsi="Arial" w:cs="Arial"/>
              </w:rPr>
              <w:t>4.1</w:t>
            </w:r>
          </w:p>
          <w:p w:rsidR="009C279E" w:rsidRPr="003A2055" w:rsidRDefault="009C279E" w:rsidP="009C279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3A2055">
              <w:rPr>
                <w:rFonts w:ascii="Arial" w:hAnsi="Arial" w:cs="Arial"/>
              </w:rPr>
              <w:t>SEN_2019_11_05_P14.2</w:t>
            </w:r>
          </w:p>
          <w:p w:rsidR="009C279E" w:rsidRPr="00B83450" w:rsidRDefault="009C279E" w:rsidP="009C279E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SEN_2019_11_05_P14.3</w:t>
            </w:r>
          </w:p>
          <w:p w:rsidR="009C279E" w:rsidRPr="00B83450" w:rsidRDefault="009C279E" w:rsidP="009C279E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B83450">
              <w:rPr>
                <w:rFonts w:ascii="Arial" w:hAnsi="Arial" w:cs="Arial"/>
              </w:rPr>
              <w:t>SEN_2019_11_05_P14</w:t>
            </w:r>
            <w:r>
              <w:rPr>
                <w:rFonts w:ascii="Arial" w:hAnsi="Arial" w:cs="Arial"/>
              </w:rPr>
              <w:t>.4</w:t>
            </w:r>
          </w:p>
          <w:p w:rsidR="00772037" w:rsidRDefault="009C279E" w:rsidP="009C279E">
            <w:pPr>
              <w:jc w:val="right"/>
              <w:rPr>
                <w:rFonts w:ascii="Arial" w:hAnsi="Arial" w:cs="Arial"/>
              </w:rPr>
            </w:pPr>
            <w:r w:rsidRPr="009B6863">
              <w:rPr>
                <w:rFonts w:ascii="Arial" w:hAnsi="Arial" w:cs="Arial"/>
              </w:rPr>
              <w:t>SEN_2019_11_05_P14.5</w:t>
            </w:r>
          </w:p>
        </w:tc>
      </w:tr>
      <w:tr w:rsidR="00772037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772037" w:rsidRPr="002C4A34" w:rsidRDefault="00772037" w:rsidP="002C4A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772037" w:rsidRDefault="00772037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UNIVERSITY COUNCIL MINUTES</w:t>
            </w:r>
          </w:p>
          <w:p w:rsidR="00772037" w:rsidRPr="00DA6C7F" w:rsidRDefault="00772037" w:rsidP="00772037">
            <w:pPr>
              <w:keepLines/>
              <w:widowControl w:val="0"/>
              <w:rPr>
                <w:rFonts w:ascii="Arial" w:hAnsi="Arial" w:cs="Arial"/>
              </w:rPr>
            </w:pPr>
            <w:r w:rsidRPr="00DA6C7F">
              <w:rPr>
                <w:rFonts w:ascii="Arial" w:hAnsi="Arial" w:cs="Arial"/>
              </w:rPr>
              <w:t>The University Council minutes of 4 July 2019 were noted.</w:t>
            </w:r>
          </w:p>
          <w:p w:rsidR="00772037" w:rsidRDefault="00772037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772037" w:rsidRDefault="009C279E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SEN_2019_11_05_P15.1</w:t>
            </w:r>
          </w:p>
        </w:tc>
      </w:tr>
      <w:tr w:rsidR="00772037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772037" w:rsidRPr="002C4A34" w:rsidRDefault="00772037" w:rsidP="002C4A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772037" w:rsidRDefault="00772037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WHISTLEBLOWING REPORT</w:t>
            </w:r>
          </w:p>
          <w:p w:rsidR="001F7622" w:rsidRDefault="00972AB5" w:rsidP="00972AB5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</w:rPr>
              <w:t>The W</w:t>
            </w:r>
            <w:r w:rsidR="00772037" w:rsidRPr="00DA6C7F">
              <w:rPr>
                <w:rFonts w:ascii="Arial" w:hAnsi="Arial" w:cs="Arial"/>
              </w:rPr>
              <w:t xml:space="preserve">histleblowing </w:t>
            </w:r>
            <w:r>
              <w:rPr>
                <w:rFonts w:ascii="Arial" w:hAnsi="Arial" w:cs="Arial"/>
              </w:rPr>
              <w:t>R</w:t>
            </w:r>
            <w:r w:rsidR="00DA6C7F" w:rsidRPr="00DA6C7F">
              <w:rPr>
                <w:rFonts w:ascii="Arial" w:hAnsi="Arial" w:cs="Arial"/>
              </w:rPr>
              <w:t>eport</w:t>
            </w:r>
            <w:r w:rsidR="00772037" w:rsidRPr="00DA6C7F">
              <w:rPr>
                <w:rFonts w:ascii="Arial" w:hAnsi="Arial" w:cs="Arial"/>
              </w:rPr>
              <w:t xml:space="preserve"> for the period 1 August 2018 to 31 July 2019</w:t>
            </w:r>
            <w:r w:rsidR="001F7622">
              <w:rPr>
                <w:rFonts w:ascii="Arial" w:hAnsi="Arial" w:cs="Arial"/>
              </w:rPr>
              <w:t xml:space="preserve"> was received</w:t>
            </w:r>
            <w:r w:rsidR="00300CE0">
              <w:rPr>
                <w:rFonts w:ascii="Arial" w:hAnsi="Arial" w:cs="Arial"/>
              </w:rPr>
              <w:t xml:space="preserve">. </w:t>
            </w:r>
            <w:r w:rsidR="00772037">
              <w:rPr>
                <w:rFonts w:ascii="Arial" w:hAnsi="Arial" w:cs="Arial"/>
                <w:b/>
                <w:color w:val="1F4E79" w:themeColor="accent1" w:themeShade="80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925663" w:rsidRDefault="00925663" w:rsidP="00584BAA">
            <w:pPr>
              <w:jc w:val="right"/>
              <w:rPr>
                <w:rFonts w:ascii="Arial" w:hAnsi="Arial" w:cs="Arial"/>
              </w:rPr>
            </w:pPr>
          </w:p>
          <w:p w:rsidR="00772037" w:rsidRDefault="009C279E" w:rsidP="00584BAA">
            <w:pPr>
              <w:jc w:val="right"/>
              <w:rPr>
                <w:rFonts w:ascii="Arial" w:hAnsi="Arial" w:cs="Arial"/>
              </w:rPr>
            </w:pPr>
            <w:r w:rsidRPr="00B83450">
              <w:rPr>
                <w:rFonts w:ascii="Arial" w:hAnsi="Arial" w:cs="Arial"/>
              </w:rPr>
              <w:t>SEN_2019_11_05_P16.1</w:t>
            </w:r>
          </w:p>
        </w:tc>
      </w:tr>
      <w:tr w:rsidR="00DA6C7F" w:rsidRPr="003F3B87" w:rsidTr="009F7C68">
        <w:tc>
          <w:tcPr>
            <w:tcW w:w="9912" w:type="dxa"/>
            <w:gridSpan w:val="4"/>
            <w:shd w:val="clear" w:color="auto" w:fill="1F4E79" w:themeFill="accent1" w:themeFillShade="80"/>
          </w:tcPr>
          <w:p w:rsidR="00DA6C7F" w:rsidRPr="003F3B87" w:rsidRDefault="00DA6C7F" w:rsidP="009F7C68">
            <w:pPr>
              <w:spacing w:line="276" w:lineRule="auto"/>
              <w:rPr>
                <w:rFonts w:ascii="Arial" w:hAnsi="Arial" w:cs="Arial"/>
                <w:b/>
              </w:rPr>
            </w:pPr>
            <w:r w:rsidRPr="003F3B87">
              <w:rPr>
                <w:rFonts w:ascii="Arial" w:hAnsi="Arial" w:cs="Arial"/>
                <w:b/>
                <w:color w:val="FFFFFF" w:themeColor="background1"/>
              </w:rPr>
              <w:t>OTHER BUSINESS</w:t>
            </w:r>
          </w:p>
        </w:tc>
      </w:tr>
      <w:tr w:rsidR="00DA6C7F" w:rsidTr="00342CE2">
        <w:tc>
          <w:tcPr>
            <w:tcW w:w="645" w:type="dxa"/>
            <w:tcBorders>
              <w:top w:val="nil"/>
              <w:bottom w:val="single" w:sz="4" w:space="0" w:color="auto"/>
            </w:tcBorders>
          </w:tcPr>
          <w:p w:rsidR="00DA6C7F" w:rsidRPr="002C4A34" w:rsidRDefault="00DA6C7F" w:rsidP="002C4A3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bottom w:val="single" w:sz="4" w:space="0" w:color="auto"/>
            </w:tcBorders>
          </w:tcPr>
          <w:p w:rsidR="00DA6C7F" w:rsidRDefault="00DA6C7F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ANY OTHER BUSINESS</w:t>
            </w:r>
          </w:p>
          <w:p w:rsidR="00DA6C7F" w:rsidRDefault="00DA6C7F" w:rsidP="00584BAA">
            <w:pPr>
              <w:rPr>
                <w:rFonts w:ascii="Arial" w:hAnsi="Arial" w:cs="Arial"/>
              </w:rPr>
            </w:pPr>
            <w:r w:rsidRPr="00DA6C7F">
              <w:rPr>
                <w:rFonts w:ascii="Arial" w:hAnsi="Arial" w:cs="Arial"/>
              </w:rPr>
              <w:t>There were no additional matters to discuss.</w:t>
            </w:r>
          </w:p>
          <w:p w:rsidR="00D6392A" w:rsidRDefault="00D6392A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top w:val="nil"/>
              <w:bottom w:val="single" w:sz="4" w:space="0" w:color="auto"/>
            </w:tcBorders>
          </w:tcPr>
          <w:p w:rsidR="00DA6C7F" w:rsidRDefault="00DA6C7F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584BAA" w:rsidTr="00342CE2">
        <w:tc>
          <w:tcPr>
            <w:tcW w:w="64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84BAA" w:rsidRPr="007D67BF" w:rsidRDefault="00584BAA" w:rsidP="00584B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36C6" w:rsidRPr="00342CE2" w:rsidRDefault="00584BAA" w:rsidP="00E857A4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 w:rsidRPr="00584BAA">
              <w:rPr>
                <w:rFonts w:ascii="Arial" w:hAnsi="Arial" w:cs="Arial"/>
                <w:b/>
                <w:color w:val="1F4E79" w:themeColor="accent1" w:themeShade="80"/>
              </w:rPr>
              <w:t>AVAILABILITY OF AGENDA, PAPERS AND MINUTES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E857A4" w:rsidTr="00342CE2">
        <w:tc>
          <w:tcPr>
            <w:tcW w:w="645" w:type="dxa"/>
            <w:vMerge w:val="restart"/>
            <w:tcBorders>
              <w:top w:val="nil"/>
              <w:right w:val="single" w:sz="4" w:space="0" w:color="auto"/>
            </w:tcBorders>
          </w:tcPr>
          <w:p w:rsidR="00E857A4" w:rsidRPr="00E857A4" w:rsidRDefault="00E857A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7A4" w:rsidRDefault="00E857A4" w:rsidP="00584BAA">
            <w:pPr>
              <w:keepLines/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Resolved: </w:t>
            </w:r>
            <w:r w:rsidRPr="00E857A4">
              <w:rPr>
                <w:rFonts w:ascii="Arial" w:hAnsi="Arial" w:cs="Arial"/>
              </w:rPr>
              <w:t>to exclude the following papers or minutes from the public version under Standing order 11.8.</w:t>
            </w:r>
          </w:p>
          <w:p w:rsidR="0010227E" w:rsidRPr="00342CE2" w:rsidRDefault="0010227E" w:rsidP="00584BAA">
            <w:pPr>
              <w:keepLines/>
              <w:widowControl w:val="0"/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57A4" w:rsidRDefault="00E857A4" w:rsidP="00584BAA">
            <w:pPr>
              <w:jc w:val="right"/>
              <w:rPr>
                <w:rFonts w:ascii="Arial" w:hAnsi="Arial" w:cs="Arial"/>
              </w:rPr>
            </w:pPr>
          </w:p>
        </w:tc>
      </w:tr>
      <w:tr w:rsidR="00E857A4" w:rsidTr="00342CE2">
        <w:tc>
          <w:tcPr>
            <w:tcW w:w="645" w:type="dxa"/>
            <w:vMerge/>
          </w:tcPr>
          <w:p w:rsidR="00E857A4" w:rsidRPr="00E857A4" w:rsidRDefault="00E857A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Pr="00584BAA" w:rsidRDefault="00E857A4" w:rsidP="00083006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 xml:space="preserve">Agenda Item 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Pr="00584BAA" w:rsidRDefault="00E857A4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Title of Paper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Default="00E857A4" w:rsidP="00B35E39">
            <w:pPr>
              <w:rPr>
                <w:rFonts w:ascii="Arial" w:hAnsi="Arial" w:cs="Arial"/>
              </w:rPr>
            </w:pPr>
            <w:r w:rsidRPr="00B35E39">
              <w:rPr>
                <w:rFonts w:ascii="Arial" w:hAnsi="Arial" w:cs="Arial"/>
                <w:b/>
                <w:color w:val="1F4E79" w:themeColor="accent1" w:themeShade="80"/>
              </w:rPr>
              <w:t xml:space="preserve">Paper Reference </w:t>
            </w:r>
          </w:p>
        </w:tc>
      </w:tr>
      <w:tr w:rsidR="00342CE2" w:rsidTr="00342CE2">
        <w:tc>
          <w:tcPr>
            <w:tcW w:w="645" w:type="dxa"/>
            <w:vMerge/>
          </w:tcPr>
          <w:p w:rsidR="00342CE2" w:rsidRPr="00E857A4" w:rsidRDefault="00342CE2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42CE2" w:rsidRDefault="00342CE2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8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342CE2" w:rsidRDefault="00925663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Academic governance report</w:t>
            </w:r>
            <w:bookmarkStart w:id="1" w:name="_GoBack"/>
            <w:bookmarkEnd w:id="1"/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342CE2" w:rsidRDefault="00342CE2" w:rsidP="009256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SEN_2019_11_05_P8.1</w:t>
            </w:r>
          </w:p>
        </w:tc>
      </w:tr>
      <w:tr w:rsidR="00E857A4" w:rsidTr="00342CE2">
        <w:tc>
          <w:tcPr>
            <w:tcW w:w="645" w:type="dxa"/>
            <w:vMerge/>
          </w:tcPr>
          <w:p w:rsidR="00E857A4" w:rsidRPr="00E857A4" w:rsidRDefault="00E857A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Default="00282F4D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9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Default="00282F4D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Honorary Awards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Default="00F22CBF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tabled</w:t>
            </w:r>
          </w:p>
        </w:tc>
      </w:tr>
      <w:tr w:rsidR="00300CE0" w:rsidTr="00342CE2">
        <w:tc>
          <w:tcPr>
            <w:tcW w:w="645" w:type="dxa"/>
            <w:vMerge/>
          </w:tcPr>
          <w:p w:rsidR="00300CE0" w:rsidRDefault="00300CE0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300CE0" w:rsidRDefault="00300CE0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10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300CE0" w:rsidRPr="00184F86" w:rsidRDefault="00F22CBF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Enrolments and Applications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300CE0" w:rsidRDefault="00F22CBF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tabled</w:t>
            </w:r>
          </w:p>
        </w:tc>
      </w:tr>
      <w:tr w:rsidR="00E857A4" w:rsidTr="00342CE2">
        <w:tc>
          <w:tcPr>
            <w:tcW w:w="645" w:type="dxa"/>
            <w:vMerge/>
          </w:tcPr>
          <w:p w:rsidR="00E857A4" w:rsidRDefault="00E857A4" w:rsidP="00E857A4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Default="00184F86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12.1</w:t>
            </w:r>
          </w:p>
        </w:tc>
        <w:tc>
          <w:tcPr>
            <w:tcW w:w="4475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Default="00184F86" w:rsidP="00584BAA">
            <w:pPr>
              <w:keepLines/>
              <w:widowControl w:val="0"/>
              <w:rPr>
                <w:rFonts w:ascii="Arial" w:hAnsi="Arial" w:cs="Arial"/>
                <w:b/>
                <w:color w:val="1F4E79" w:themeColor="accent1" w:themeShade="80"/>
              </w:rPr>
            </w:pPr>
            <w:r w:rsidRPr="00184F86">
              <w:rPr>
                <w:rFonts w:ascii="Arial" w:hAnsi="Arial" w:cs="Arial"/>
                <w:b/>
                <w:color w:val="1F4E79" w:themeColor="accent1" w:themeShade="80"/>
              </w:rPr>
              <w:t>Update on International Enrolments and Recruitment</w:t>
            </w:r>
          </w:p>
        </w:tc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:rsidR="00E857A4" w:rsidRDefault="00F22CBF" w:rsidP="00584BA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tabled</w:t>
            </w:r>
          </w:p>
        </w:tc>
      </w:tr>
      <w:tr w:rsidR="00584BAA" w:rsidTr="00342CE2">
        <w:tc>
          <w:tcPr>
            <w:tcW w:w="645" w:type="dxa"/>
          </w:tcPr>
          <w:p w:rsidR="00584BAA" w:rsidRPr="007D67BF" w:rsidRDefault="00584BAA" w:rsidP="00584BAA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6721" w:type="dxa"/>
            <w:gridSpan w:val="2"/>
            <w:tcBorders>
              <w:bottom w:val="single" w:sz="4" w:space="0" w:color="auto"/>
            </w:tcBorders>
          </w:tcPr>
          <w:p w:rsidR="00584BAA" w:rsidRDefault="00E857A4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  <w:r>
              <w:rPr>
                <w:rFonts w:ascii="Arial" w:hAnsi="Arial" w:cs="Arial"/>
                <w:b/>
                <w:color w:val="1F4E79" w:themeColor="accent1" w:themeShade="80"/>
              </w:rPr>
              <w:t>DATE. TIME AND PLACE OF</w:t>
            </w:r>
            <w:r w:rsidR="00584BAA">
              <w:rPr>
                <w:rFonts w:ascii="Arial" w:hAnsi="Arial" w:cs="Arial"/>
                <w:b/>
                <w:color w:val="1F4E79" w:themeColor="accent1" w:themeShade="80"/>
              </w:rPr>
              <w:t xml:space="preserve"> NEXT MEETING</w:t>
            </w:r>
            <w:r w:rsidR="002C4A34">
              <w:rPr>
                <w:rFonts w:ascii="Arial" w:hAnsi="Arial" w:cs="Arial"/>
                <w:b/>
                <w:color w:val="1F4E79" w:themeColor="accent1" w:themeShade="80"/>
              </w:rPr>
              <w:t>S</w:t>
            </w:r>
          </w:p>
          <w:p w:rsidR="002C4A34" w:rsidRDefault="002C4A34" w:rsidP="002C4A34">
            <w:pPr>
              <w:keepLines/>
              <w:widowControl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March 2020 </w:t>
            </w:r>
            <w:r w:rsidRPr="00584BAA">
              <w:rPr>
                <w:rFonts w:ascii="Arial" w:hAnsi="Arial" w:cs="Arial"/>
              </w:rPr>
              <w:t xml:space="preserve">at </w:t>
            </w:r>
            <w:r>
              <w:rPr>
                <w:rFonts w:ascii="Arial" w:hAnsi="Arial" w:cs="Arial"/>
              </w:rPr>
              <w:t>9.30 am</w:t>
            </w:r>
            <w:r w:rsidRPr="00584BAA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the McClelland Suite</w:t>
            </w:r>
          </w:p>
          <w:p w:rsidR="00584BAA" w:rsidRPr="00584BAA" w:rsidRDefault="002C4A34" w:rsidP="002C4A34">
            <w:pPr>
              <w:keepLines/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June 2020</w:t>
            </w:r>
            <w:r w:rsidRPr="00584BAA">
              <w:rPr>
                <w:rFonts w:ascii="Arial" w:hAnsi="Arial" w:cs="Arial"/>
              </w:rPr>
              <w:t xml:space="preserve"> at </w:t>
            </w:r>
            <w:r>
              <w:rPr>
                <w:rFonts w:ascii="Arial" w:hAnsi="Arial" w:cs="Arial"/>
              </w:rPr>
              <w:t>9.30 am</w:t>
            </w:r>
            <w:r w:rsidRPr="00584BAA">
              <w:rPr>
                <w:rFonts w:ascii="Arial" w:hAnsi="Arial" w:cs="Arial"/>
              </w:rPr>
              <w:t xml:space="preserve"> in </w:t>
            </w:r>
            <w:r>
              <w:rPr>
                <w:rFonts w:ascii="Arial" w:hAnsi="Arial" w:cs="Arial"/>
              </w:rPr>
              <w:t>the McClelland Suite</w:t>
            </w:r>
          </w:p>
          <w:p w:rsidR="00584BAA" w:rsidRPr="00E86365" w:rsidRDefault="00584BAA" w:rsidP="00584BAA">
            <w:pPr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584BAA" w:rsidRDefault="00584BAA" w:rsidP="00584BAA">
            <w:pPr>
              <w:jc w:val="right"/>
              <w:rPr>
                <w:rFonts w:ascii="Arial" w:hAnsi="Arial" w:cs="Arial"/>
              </w:rPr>
            </w:pPr>
          </w:p>
        </w:tc>
      </w:tr>
    </w:tbl>
    <w:p w:rsidR="001948A0" w:rsidRDefault="001948A0" w:rsidP="00E86365">
      <w:pPr>
        <w:spacing w:after="0" w:line="240" w:lineRule="auto"/>
        <w:rPr>
          <w:rFonts w:ascii="Arial" w:hAnsi="Arial" w:cs="Arial"/>
        </w:rPr>
      </w:pPr>
    </w:p>
    <w:sectPr w:rsidR="001948A0" w:rsidSect="001948A0">
      <w:headerReference w:type="first" r:id="rId7"/>
      <w:footerReference w:type="first" r:id="rId8"/>
      <w:pgSz w:w="11906" w:h="16838"/>
      <w:pgMar w:top="1303" w:right="992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5B" w:rsidRDefault="0028525B" w:rsidP="001948A0">
      <w:pPr>
        <w:spacing w:after="0" w:line="240" w:lineRule="auto"/>
      </w:pPr>
      <w:r>
        <w:separator/>
      </w:r>
    </w:p>
  </w:endnote>
  <w:endnote w:type="continuationSeparator" w:id="0">
    <w:p w:rsidR="0028525B" w:rsidRDefault="0028525B" w:rsidP="00194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FB0" w:rsidRPr="009C3FB0" w:rsidRDefault="009C3FB0" w:rsidP="009C3FB0">
    <w:pPr>
      <w:pStyle w:val="Footer"/>
      <w:tabs>
        <w:tab w:val="clear" w:pos="9026"/>
      </w:tabs>
      <w:rPr>
        <w:sz w:val="18"/>
        <w:szCs w:val="18"/>
      </w:rPr>
    </w:pP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FILENAME  \p  \* MERGEFORMAT </w:instrText>
    </w:r>
    <w:r w:rsidRPr="009C3FB0">
      <w:rPr>
        <w:sz w:val="18"/>
        <w:szCs w:val="18"/>
      </w:rPr>
      <w:fldChar w:fldCharType="separate"/>
    </w:r>
    <w:r w:rsidR="00FA4B89">
      <w:rPr>
        <w:noProof/>
        <w:sz w:val="18"/>
        <w:szCs w:val="18"/>
      </w:rPr>
      <w:t>L:\VCO3\Committees\Senate\Minutes\SEN_2019_11_05_M.docx</w:t>
    </w:r>
    <w:r w:rsidRPr="009C3FB0"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sz w:val="18"/>
        <w:szCs w:val="18"/>
      </w:rPr>
      <w:tab/>
    </w:r>
    <w:r w:rsidR="00F82317">
      <w:rPr>
        <w:sz w:val="18"/>
        <w:szCs w:val="18"/>
      </w:rPr>
      <w:tab/>
    </w:r>
    <w:r w:rsidR="00F82317">
      <w:rPr>
        <w:sz w:val="18"/>
        <w:szCs w:val="18"/>
      </w:rPr>
      <w:tab/>
    </w:r>
    <w:r>
      <w:rPr>
        <w:sz w:val="18"/>
        <w:szCs w:val="18"/>
      </w:rPr>
      <w:t xml:space="preserve">Page </w:t>
    </w:r>
    <w:r w:rsidRPr="009C3FB0">
      <w:rPr>
        <w:sz w:val="18"/>
        <w:szCs w:val="18"/>
      </w:rPr>
      <w:fldChar w:fldCharType="begin"/>
    </w:r>
    <w:r w:rsidRPr="009C3FB0">
      <w:rPr>
        <w:sz w:val="18"/>
        <w:szCs w:val="18"/>
      </w:rPr>
      <w:instrText xml:space="preserve"> PAGE   \* MERGEFORMAT </w:instrText>
    </w:r>
    <w:r w:rsidRPr="009C3FB0">
      <w:rPr>
        <w:sz w:val="18"/>
        <w:szCs w:val="18"/>
      </w:rPr>
      <w:fldChar w:fldCharType="separate"/>
    </w:r>
    <w:r w:rsidR="00FA4B89">
      <w:rPr>
        <w:noProof/>
        <w:sz w:val="18"/>
        <w:szCs w:val="18"/>
      </w:rPr>
      <w:t>1</w:t>
    </w:r>
    <w:r w:rsidRPr="009C3FB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5B" w:rsidRDefault="0028525B" w:rsidP="001948A0">
      <w:pPr>
        <w:spacing w:after="0" w:line="240" w:lineRule="auto"/>
      </w:pPr>
      <w:r>
        <w:separator/>
      </w:r>
    </w:p>
  </w:footnote>
  <w:footnote w:type="continuationSeparator" w:id="0">
    <w:p w:rsidR="0028525B" w:rsidRDefault="0028525B" w:rsidP="00194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8A0" w:rsidRDefault="001948A0" w:rsidP="0040213F">
    <w:pPr>
      <w:pStyle w:val="Header"/>
      <w:spacing w:after="120"/>
      <w:jc w:val="right"/>
      <w:rPr>
        <w:rFonts w:ascii="Arial" w:hAnsi="Arial" w:cs="Arial"/>
        <w:b/>
        <w:color w:val="1F4E79" w:themeColor="accent1" w:themeShade="80"/>
        <w:sz w:val="24"/>
        <w:szCs w:val="24"/>
      </w:rPr>
    </w:pPr>
    <w:r w:rsidRPr="00420F63"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</wp:posOffset>
          </wp:positionH>
          <wp:positionV relativeFrom="margin">
            <wp:posOffset>-683895</wp:posOffset>
          </wp:positionV>
          <wp:extent cx="1504950" cy="684068"/>
          <wp:effectExtent l="0" t="0" r="0" b="190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H FINAL LOGO 2018 -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84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79E">
      <w:rPr>
        <w:rFonts w:ascii="Arial" w:hAnsi="Arial" w:cs="Arial"/>
        <w:b/>
        <w:color w:val="1F4E79" w:themeColor="accent1" w:themeShade="80"/>
        <w:sz w:val="24"/>
        <w:szCs w:val="24"/>
      </w:rPr>
      <w:t>SEN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9C279E">
      <w:rPr>
        <w:rFonts w:ascii="Arial" w:hAnsi="Arial" w:cs="Arial"/>
        <w:b/>
        <w:color w:val="1F4E79" w:themeColor="accent1" w:themeShade="80"/>
        <w:sz w:val="24"/>
        <w:szCs w:val="24"/>
      </w:rPr>
      <w:t>2019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9C279E">
      <w:rPr>
        <w:rFonts w:ascii="Arial" w:hAnsi="Arial" w:cs="Arial"/>
        <w:b/>
        <w:color w:val="1F4E79" w:themeColor="accent1" w:themeShade="80"/>
        <w:sz w:val="24"/>
        <w:szCs w:val="24"/>
      </w:rPr>
      <w:t>11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9C279E">
      <w:rPr>
        <w:rFonts w:ascii="Arial" w:hAnsi="Arial" w:cs="Arial"/>
        <w:b/>
        <w:color w:val="1F4E79" w:themeColor="accent1" w:themeShade="80"/>
        <w:sz w:val="24"/>
        <w:szCs w:val="24"/>
      </w:rPr>
      <w:t>05</w:t>
    </w:r>
    <w:r w:rsidRPr="001948A0">
      <w:rPr>
        <w:rFonts w:ascii="Arial" w:hAnsi="Arial" w:cs="Arial"/>
        <w:b/>
        <w:color w:val="1F4E79" w:themeColor="accent1" w:themeShade="80"/>
        <w:sz w:val="24"/>
        <w:szCs w:val="24"/>
      </w:rPr>
      <w:t>_</w:t>
    </w:r>
    <w:r w:rsidR="002673EB">
      <w:rPr>
        <w:rFonts w:ascii="Arial" w:hAnsi="Arial" w:cs="Arial"/>
        <w:b/>
        <w:color w:val="1F4E79" w:themeColor="accent1" w:themeShade="80"/>
        <w:sz w:val="24"/>
        <w:szCs w:val="24"/>
      </w:rPr>
      <w:t>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C4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B689D"/>
    <w:multiLevelType w:val="hybridMultilevel"/>
    <w:tmpl w:val="875C5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20932"/>
    <w:multiLevelType w:val="hybridMultilevel"/>
    <w:tmpl w:val="E334E8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C7C26"/>
    <w:multiLevelType w:val="hybridMultilevel"/>
    <w:tmpl w:val="15C47F2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081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551A67"/>
    <w:multiLevelType w:val="hybridMultilevel"/>
    <w:tmpl w:val="7A7A3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1878D0"/>
    <w:multiLevelType w:val="hybridMultilevel"/>
    <w:tmpl w:val="BD8C4C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D271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09399C"/>
    <w:multiLevelType w:val="hybridMultilevel"/>
    <w:tmpl w:val="D86073FE"/>
    <w:lvl w:ilvl="0" w:tplc="E53A601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8A0"/>
    <w:rsid w:val="00000786"/>
    <w:rsid w:val="0000154A"/>
    <w:rsid w:val="00001A9A"/>
    <w:rsid w:val="00001B63"/>
    <w:rsid w:val="00005BAF"/>
    <w:rsid w:val="00007298"/>
    <w:rsid w:val="00016C68"/>
    <w:rsid w:val="00017CAE"/>
    <w:rsid w:val="00021C98"/>
    <w:rsid w:val="00023C23"/>
    <w:rsid w:val="00033524"/>
    <w:rsid w:val="00034FCB"/>
    <w:rsid w:val="00044CEC"/>
    <w:rsid w:val="00051265"/>
    <w:rsid w:val="00054A0E"/>
    <w:rsid w:val="0005701E"/>
    <w:rsid w:val="00057B40"/>
    <w:rsid w:val="00063D0F"/>
    <w:rsid w:val="0006490E"/>
    <w:rsid w:val="0006721C"/>
    <w:rsid w:val="00073EBF"/>
    <w:rsid w:val="00073F3C"/>
    <w:rsid w:val="00077B46"/>
    <w:rsid w:val="00081C4A"/>
    <w:rsid w:val="00083006"/>
    <w:rsid w:val="000A3407"/>
    <w:rsid w:val="000A46DE"/>
    <w:rsid w:val="000A4B53"/>
    <w:rsid w:val="000B3659"/>
    <w:rsid w:val="000C2682"/>
    <w:rsid w:val="000C3B89"/>
    <w:rsid w:val="000D0053"/>
    <w:rsid w:val="000D0CAC"/>
    <w:rsid w:val="000D717D"/>
    <w:rsid w:val="000E7154"/>
    <w:rsid w:val="000E73A5"/>
    <w:rsid w:val="000F1916"/>
    <w:rsid w:val="000F22DD"/>
    <w:rsid w:val="000F3787"/>
    <w:rsid w:val="000F542C"/>
    <w:rsid w:val="0010227E"/>
    <w:rsid w:val="00102AFD"/>
    <w:rsid w:val="00103A3D"/>
    <w:rsid w:val="001077CC"/>
    <w:rsid w:val="001153C1"/>
    <w:rsid w:val="001169A6"/>
    <w:rsid w:val="00132102"/>
    <w:rsid w:val="001333BE"/>
    <w:rsid w:val="001440FC"/>
    <w:rsid w:val="00144EFC"/>
    <w:rsid w:val="001525E2"/>
    <w:rsid w:val="00152782"/>
    <w:rsid w:val="00157280"/>
    <w:rsid w:val="0015768B"/>
    <w:rsid w:val="0016276B"/>
    <w:rsid w:val="001705D4"/>
    <w:rsid w:val="00172637"/>
    <w:rsid w:val="00172B1D"/>
    <w:rsid w:val="00180DFC"/>
    <w:rsid w:val="00182F50"/>
    <w:rsid w:val="00183930"/>
    <w:rsid w:val="00184F86"/>
    <w:rsid w:val="00185FFE"/>
    <w:rsid w:val="00190D77"/>
    <w:rsid w:val="00191ADC"/>
    <w:rsid w:val="001930FA"/>
    <w:rsid w:val="001933E1"/>
    <w:rsid w:val="001948A0"/>
    <w:rsid w:val="00196835"/>
    <w:rsid w:val="001A5772"/>
    <w:rsid w:val="001A640D"/>
    <w:rsid w:val="001B6047"/>
    <w:rsid w:val="001C0A4A"/>
    <w:rsid w:val="001C45A1"/>
    <w:rsid w:val="001C6FCD"/>
    <w:rsid w:val="001C7092"/>
    <w:rsid w:val="001D40BB"/>
    <w:rsid w:val="001D6AB8"/>
    <w:rsid w:val="001D6FF7"/>
    <w:rsid w:val="001D712D"/>
    <w:rsid w:val="001E13B1"/>
    <w:rsid w:val="001E2367"/>
    <w:rsid w:val="001E359D"/>
    <w:rsid w:val="001E396F"/>
    <w:rsid w:val="001F44A6"/>
    <w:rsid w:val="001F6D8D"/>
    <w:rsid w:val="001F7622"/>
    <w:rsid w:val="00201C99"/>
    <w:rsid w:val="0020210D"/>
    <w:rsid w:val="0020424F"/>
    <w:rsid w:val="00205806"/>
    <w:rsid w:val="002104CA"/>
    <w:rsid w:val="002165CD"/>
    <w:rsid w:val="00221E04"/>
    <w:rsid w:val="00222797"/>
    <w:rsid w:val="00231103"/>
    <w:rsid w:val="00232FB8"/>
    <w:rsid w:val="002339B8"/>
    <w:rsid w:val="00234E34"/>
    <w:rsid w:val="00236595"/>
    <w:rsid w:val="00240C67"/>
    <w:rsid w:val="0024196F"/>
    <w:rsid w:val="00245CA6"/>
    <w:rsid w:val="00245FF2"/>
    <w:rsid w:val="00251A92"/>
    <w:rsid w:val="00252B76"/>
    <w:rsid w:val="00256974"/>
    <w:rsid w:val="002570E9"/>
    <w:rsid w:val="00260023"/>
    <w:rsid w:val="002632E1"/>
    <w:rsid w:val="00266B38"/>
    <w:rsid w:val="00266B8D"/>
    <w:rsid w:val="002673EB"/>
    <w:rsid w:val="0027264C"/>
    <w:rsid w:val="00272B9A"/>
    <w:rsid w:val="00272BD3"/>
    <w:rsid w:val="002742E8"/>
    <w:rsid w:val="00275146"/>
    <w:rsid w:val="00276881"/>
    <w:rsid w:val="00277358"/>
    <w:rsid w:val="00277711"/>
    <w:rsid w:val="00282F4D"/>
    <w:rsid w:val="0028525B"/>
    <w:rsid w:val="00285340"/>
    <w:rsid w:val="0029032D"/>
    <w:rsid w:val="0029202C"/>
    <w:rsid w:val="0029753A"/>
    <w:rsid w:val="002A2089"/>
    <w:rsid w:val="002B21B0"/>
    <w:rsid w:val="002B2F42"/>
    <w:rsid w:val="002B56C6"/>
    <w:rsid w:val="002C49AB"/>
    <w:rsid w:val="002C4A34"/>
    <w:rsid w:val="002C79AA"/>
    <w:rsid w:val="002D5BA2"/>
    <w:rsid w:val="002D5D81"/>
    <w:rsid w:val="002E0A83"/>
    <w:rsid w:val="002E1347"/>
    <w:rsid w:val="002E1C3D"/>
    <w:rsid w:val="002E2698"/>
    <w:rsid w:val="002E2B56"/>
    <w:rsid w:val="002E45B8"/>
    <w:rsid w:val="002E46F9"/>
    <w:rsid w:val="002E48B8"/>
    <w:rsid w:val="002E646A"/>
    <w:rsid w:val="002E7BE5"/>
    <w:rsid w:val="002F07D4"/>
    <w:rsid w:val="002F2874"/>
    <w:rsid w:val="00300CE0"/>
    <w:rsid w:val="00303BE4"/>
    <w:rsid w:val="00303FE0"/>
    <w:rsid w:val="003052ED"/>
    <w:rsid w:val="003065A6"/>
    <w:rsid w:val="00313FF8"/>
    <w:rsid w:val="00316AB4"/>
    <w:rsid w:val="00320BB1"/>
    <w:rsid w:val="003243EC"/>
    <w:rsid w:val="00334343"/>
    <w:rsid w:val="00336992"/>
    <w:rsid w:val="00342CE2"/>
    <w:rsid w:val="00346974"/>
    <w:rsid w:val="00347294"/>
    <w:rsid w:val="00354BE5"/>
    <w:rsid w:val="00360B49"/>
    <w:rsid w:val="00367333"/>
    <w:rsid w:val="00370A5E"/>
    <w:rsid w:val="00370F61"/>
    <w:rsid w:val="00371B98"/>
    <w:rsid w:val="0037398B"/>
    <w:rsid w:val="003757AF"/>
    <w:rsid w:val="00375AC0"/>
    <w:rsid w:val="003776C7"/>
    <w:rsid w:val="00387BCE"/>
    <w:rsid w:val="00396149"/>
    <w:rsid w:val="003A2BF3"/>
    <w:rsid w:val="003A5DC7"/>
    <w:rsid w:val="003A6C21"/>
    <w:rsid w:val="003A6EB7"/>
    <w:rsid w:val="003B0241"/>
    <w:rsid w:val="003B520C"/>
    <w:rsid w:val="003B7E13"/>
    <w:rsid w:val="003C2332"/>
    <w:rsid w:val="003E485B"/>
    <w:rsid w:val="003E7E70"/>
    <w:rsid w:val="003F1C50"/>
    <w:rsid w:val="003F2660"/>
    <w:rsid w:val="003F2789"/>
    <w:rsid w:val="003F3B87"/>
    <w:rsid w:val="003F768B"/>
    <w:rsid w:val="0040213F"/>
    <w:rsid w:val="00403F77"/>
    <w:rsid w:val="00415406"/>
    <w:rsid w:val="00420F63"/>
    <w:rsid w:val="00422308"/>
    <w:rsid w:val="00425A6D"/>
    <w:rsid w:val="004278F1"/>
    <w:rsid w:val="00440EC2"/>
    <w:rsid w:val="004410CB"/>
    <w:rsid w:val="004430BB"/>
    <w:rsid w:val="0045370E"/>
    <w:rsid w:val="004563E8"/>
    <w:rsid w:val="00456450"/>
    <w:rsid w:val="00461261"/>
    <w:rsid w:val="00464E91"/>
    <w:rsid w:val="0046538F"/>
    <w:rsid w:val="004749E0"/>
    <w:rsid w:val="00477F00"/>
    <w:rsid w:val="00490ECF"/>
    <w:rsid w:val="00494A10"/>
    <w:rsid w:val="00497922"/>
    <w:rsid w:val="004A2470"/>
    <w:rsid w:val="004A63C8"/>
    <w:rsid w:val="004B0587"/>
    <w:rsid w:val="004B2340"/>
    <w:rsid w:val="004B2EED"/>
    <w:rsid w:val="004B5876"/>
    <w:rsid w:val="004D0FD3"/>
    <w:rsid w:val="004D1EEA"/>
    <w:rsid w:val="004D28F9"/>
    <w:rsid w:val="004D2D8B"/>
    <w:rsid w:val="004D44F5"/>
    <w:rsid w:val="004D5FDA"/>
    <w:rsid w:val="004E2A73"/>
    <w:rsid w:val="004E7506"/>
    <w:rsid w:val="004F322C"/>
    <w:rsid w:val="004F3D9F"/>
    <w:rsid w:val="004F5E87"/>
    <w:rsid w:val="004F663F"/>
    <w:rsid w:val="00500C85"/>
    <w:rsid w:val="005012CF"/>
    <w:rsid w:val="00503C36"/>
    <w:rsid w:val="0050767A"/>
    <w:rsid w:val="00510942"/>
    <w:rsid w:val="00513AD3"/>
    <w:rsid w:val="0051490B"/>
    <w:rsid w:val="00515948"/>
    <w:rsid w:val="00521496"/>
    <w:rsid w:val="005226B1"/>
    <w:rsid w:val="00524D92"/>
    <w:rsid w:val="00532B38"/>
    <w:rsid w:val="005350CC"/>
    <w:rsid w:val="005360A4"/>
    <w:rsid w:val="00543B02"/>
    <w:rsid w:val="00543B9C"/>
    <w:rsid w:val="005461B7"/>
    <w:rsid w:val="00553FE0"/>
    <w:rsid w:val="00556C12"/>
    <w:rsid w:val="00556D48"/>
    <w:rsid w:val="00556F2C"/>
    <w:rsid w:val="0056060A"/>
    <w:rsid w:val="00564EB0"/>
    <w:rsid w:val="005658E9"/>
    <w:rsid w:val="00567C9B"/>
    <w:rsid w:val="00572132"/>
    <w:rsid w:val="00583395"/>
    <w:rsid w:val="00584BAA"/>
    <w:rsid w:val="005957C8"/>
    <w:rsid w:val="0059605F"/>
    <w:rsid w:val="005A69DE"/>
    <w:rsid w:val="005B40BE"/>
    <w:rsid w:val="005B74A6"/>
    <w:rsid w:val="005D160A"/>
    <w:rsid w:val="005D1B8D"/>
    <w:rsid w:val="005D2788"/>
    <w:rsid w:val="005D412C"/>
    <w:rsid w:val="005D6538"/>
    <w:rsid w:val="005E14E1"/>
    <w:rsid w:val="005E3B9E"/>
    <w:rsid w:val="005E675F"/>
    <w:rsid w:val="005E7B50"/>
    <w:rsid w:val="005F120B"/>
    <w:rsid w:val="005F1DB8"/>
    <w:rsid w:val="005F685E"/>
    <w:rsid w:val="005F68A7"/>
    <w:rsid w:val="00603369"/>
    <w:rsid w:val="0061652B"/>
    <w:rsid w:val="00616EC7"/>
    <w:rsid w:val="0062539A"/>
    <w:rsid w:val="006317F7"/>
    <w:rsid w:val="00635D9B"/>
    <w:rsid w:val="00636715"/>
    <w:rsid w:val="00641F74"/>
    <w:rsid w:val="00645577"/>
    <w:rsid w:val="0065336E"/>
    <w:rsid w:val="0066106B"/>
    <w:rsid w:val="0066173B"/>
    <w:rsid w:val="006635D9"/>
    <w:rsid w:val="006769C7"/>
    <w:rsid w:val="00680E91"/>
    <w:rsid w:val="00681849"/>
    <w:rsid w:val="0068644A"/>
    <w:rsid w:val="006A0442"/>
    <w:rsid w:val="006A4FC9"/>
    <w:rsid w:val="006B0988"/>
    <w:rsid w:val="006B1B47"/>
    <w:rsid w:val="006B5ADB"/>
    <w:rsid w:val="006C0CB2"/>
    <w:rsid w:val="006C4327"/>
    <w:rsid w:val="006C4E15"/>
    <w:rsid w:val="006C6A4A"/>
    <w:rsid w:val="006D6143"/>
    <w:rsid w:val="006D7ED6"/>
    <w:rsid w:val="006E52B5"/>
    <w:rsid w:val="006F0383"/>
    <w:rsid w:val="006F2A65"/>
    <w:rsid w:val="006F4F55"/>
    <w:rsid w:val="006F71F6"/>
    <w:rsid w:val="00702670"/>
    <w:rsid w:val="007049E7"/>
    <w:rsid w:val="00704BF3"/>
    <w:rsid w:val="00706142"/>
    <w:rsid w:val="00707948"/>
    <w:rsid w:val="00715573"/>
    <w:rsid w:val="007170EC"/>
    <w:rsid w:val="00725D39"/>
    <w:rsid w:val="007261D4"/>
    <w:rsid w:val="00733979"/>
    <w:rsid w:val="0073515C"/>
    <w:rsid w:val="00735B32"/>
    <w:rsid w:val="00737422"/>
    <w:rsid w:val="00740079"/>
    <w:rsid w:val="00743C67"/>
    <w:rsid w:val="00751F55"/>
    <w:rsid w:val="00757D7B"/>
    <w:rsid w:val="00760227"/>
    <w:rsid w:val="00762AE6"/>
    <w:rsid w:val="007647F0"/>
    <w:rsid w:val="00770C63"/>
    <w:rsid w:val="00772037"/>
    <w:rsid w:val="00782783"/>
    <w:rsid w:val="007840C1"/>
    <w:rsid w:val="0078520F"/>
    <w:rsid w:val="0078608B"/>
    <w:rsid w:val="00790DEE"/>
    <w:rsid w:val="0079343F"/>
    <w:rsid w:val="00795715"/>
    <w:rsid w:val="007A32DC"/>
    <w:rsid w:val="007A3E48"/>
    <w:rsid w:val="007A74AA"/>
    <w:rsid w:val="007C2CBA"/>
    <w:rsid w:val="007C3568"/>
    <w:rsid w:val="007D03E2"/>
    <w:rsid w:val="007D24C0"/>
    <w:rsid w:val="007D67BF"/>
    <w:rsid w:val="007E2C55"/>
    <w:rsid w:val="0080023C"/>
    <w:rsid w:val="00801BF6"/>
    <w:rsid w:val="00802D71"/>
    <w:rsid w:val="008031AF"/>
    <w:rsid w:val="00812697"/>
    <w:rsid w:val="008134CB"/>
    <w:rsid w:val="00815861"/>
    <w:rsid w:val="00820F32"/>
    <w:rsid w:val="00824184"/>
    <w:rsid w:val="008255EC"/>
    <w:rsid w:val="0083602F"/>
    <w:rsid w:val="008504A5"/>
    <w:rsid w:val="0085052F"/>
    <w:rsid w:val="008603DC"/>
    <w:rsid w:val="0086058F"/>
    <w:rsid w:val="00860ED0"/>
    <w:rsid w:val="008663F8"/>
    <w:rsid w:val="00866474"/>
    <w:rsid w:val="00867236"/>
    <w:rsid w:val="00872D02"/>
    <w:rsid w:val="00873916"/>
    <w:rsid w:val="00873A24"/>
    <w:rsid w:val="008748ED"/>
    <w:rsid w:val="008749A1"/>
    <w:rsid w:val="0087668D"/>
    <w:rsid w:val="0087763E"/>
    <w:rsid w:val="00877AD7"/>
    <w:rsid w:val="008842E2"/>
    <w:rsid w:val="0089187C"/>
    <w:rsid w:val="00894FAD"/>
    <w:rsid w:val="00895B25"/>
    <w:rsid w:val="008A0F7B"/>
    <w:rsid w:val="008A13B7"/>
    <w:rsid w:val="008A21C3"/>
    <w:rsid w:val="008A3827"/>
    <w:rsid w:val="008A5C8C"/>
    <w:rsid w:val="008B2CAE"/>
    <w:rsid w:val="008D1138"/>
    <w:rsid w:val="008F20BD"/>
    <w:rsid w:val="008F3016"/>
    <w:rsid w:val="008F458A"/>
    <w:rsid w:val="008F48C9"/>
    <w:rsid w:val="00900E14"/>
    <w:rsid w:val="00902ADB"/>
    <w:rsid w:val="00903CB9"/>
    <w:rsid w:val="0090635C"/>
    <w:rsid w:val="00911E84"/>
    <w:rsid w:val="00912DDB"/>
    <w:rsid w:val="00913346"/>
    <w:rsid w:val="00925663"/>
    <w:rsid w:val="009375E9"/>
    <w:rsid w:val="0094085C"/>
    <w:rsid w:val="00942177"/>
    <w:rsid w:val="00944728"/>
    <w:rsid w:val="00946806"/>
    <w:rsid w:val="00946FC4"/>
    <w:rsid w:val="009475B3"/>
    <w:rsid w:val="00950702"/>
    <w:rsid w:val="00950FF3"/>
    <w:rsid w:val="009517B6"/>
    <w:rsid w:val="00953C64"/>
    <w:rsid w:val="00954645"/>
    <w:rsid w:val="00955D05"/>
    <w:rsid w:val="00955E60"/>
    <w:rsid w:val="00955E9B"/>
    <w:rsid w:val="00956E17"/>
    <w:rsid w:val="00962032"/>
    <w:rsid w:val="00964D23"/>
    <w:rsid w:val="0096513F"/>
    <w:rsid w:val="0096722C"/>
    <w:rsid w:val="0097095E"/>
    <w:rsid w:val="00972AB5"/>
    <w:rsid w:val="0097435C"/>
    <w:rsid w:val="00974D0D"/>
    <w:rsid w:val="0098108B"/>
    <w:rsid w:val="00982596"/>
    <w:rsid w:val="00982AA6"/>
    <w:rsid w:val="00983486"/>
    <w:rsid w:val="009840F9"/>
    <w:rsid w:val="009978E8"/>
    <w:rsid w:val="00997A53"/>
    <w:rsid w:val="00997C24"/>
    <w:rsid w:val="009A4528"/>
    <w:rsid w:val="009A5EFC"/>
    <w:rsid w:val="009B2609"/>
    <w:rsid w:val="009B4556"/>
    <w:rsid w:val="009C232D"/>
    <w:rsid w:val="009C279E"/>
    <w:rsid w:val="009C3FB0"/>
    <w:rsid w:val="009D7741"/>
    <w:rsid w:val="009E4A8A"/>
    <w:rsid w:val="009E6BE6"/>
    <w:rsid w:val="009F2D72"/>
    <w:rsid w:val="009F43A9"/>
    <w:rsid w:val="00A04211"/>
    <w:rsid w:val="00A04DD7"/>
    <w:rsid w:val="00A057FB"/>
    <w:rsid w:val="00A05FE3"/>
    <w:rsid w:val="00A07A25"/>
    <w:rsid w:val="00A101FD"/>
    <w:rsid w:val="00A23852"/>
    <w:rsid w:val="00A269DF"/>
    <w:rsid w:val="00A300EC"/>
    <w:rsid w:val="00A31267"/>
    <w:rsid w:val="00A37F00"/>
    <w:rsid w:val="00A431C5"/>
    <w:rsid w:val="00A46EE9"/>
    <w:rsid w:val="00A47E90"/>
    <w:rsid w:val="00A53865"/>
    <w:rsid w:val="00A5493A"/>
    <w:rsid w:val="00A60838"/>
    <w:rsid w:val="00A609E1"/>
    <w:rsid w:val="00A60D49"/>
    <w:rsid w:val="00A63504"/>
    <w:rsid w:val="00A72E43"/>
    <w:rsid w:val="00A75ADB"/>
    <w:rsid w:val="00A7667C"/>
    <w:rsid w:val="00A81B71"/>
    <w:rsid w:val="00A83A85"/>
    <w:rsid w:val="00A91C11"/>
    <w:rsid w:val="00A96106"/>
    <w:rsid w:val="00A96B3A"/>
    <w:rsid w:val="00AA3E83"/>
    <w:rsid w:val="00AA54FA"/>
    <w:rsid w:val="00AA6E9B"/>
    <w:rsid w:val="00AB2D3C"/>
    <w:rsid w:val="00AB3EF5"/>
    <w:rsid w:val="00AB4AFE"/>
    <w:rsid w:val="00AB5F52"/>
    <w:rsid w:val="00AB7238"/>
    <w:rsid w:val="00AC1148"/>
    <w:rsid w:val="00AC254E"/>
    <w:rsid w:val="00AC36C6"/>
    <w:rsid w:val="00AC3B69"/>
    <w:rsid w:val="00AD37F9"/>
    <w:rsid w:val="00AD46DB"/>
    <w:rsid w:val="00AE0CF6"/>
    <w:rsid w:val="00AE42CE"/>
    <w:rsid w:val="00B011AF"/>
    <w:rsid w:val="00B03280"/>
    <w:rsid w:val="00B0333D"/>
    <w:rsid w:val="00B04052"/>
    <w:rsid w:val="00B0694C"/>
    <w:rsid w:val="00B07E21"/>
    <w:rsid w:val="00B106E4"/>
    <w:rsid w:val="00B168D9"/>
    <w:rsid w:val="00B170C0"/>
    <w:rsid w:val="00B23DFC"/>
    <w:rsid w:val="00B26AA5"/>
    <w:rsid w:val="00B30B5D"/>
    <w:rsid w:val="00B34A53"/>
    <w:rsid w:val="00B35ADD"/>
    <w:rsid w:val="00B35E39"/>
    <w:rsid w:val="00B40EB2"/>
    <w:rsid w:val="00B42565"/>
    <w:rsid w:val="00B43AD3"/>
    <w:rsid w:val="00B45E16"/>
    <w:rsid w:val="00B4600D"/>
    <w:rsid w:val="00B462E0"/>
    <w:rsid w:val="00B47A16"/>
    <w:rsid w:val="00B52B4B"/>
    <w:rsid w:val="00B64D45"/>
    <w:rsid w:val="00B7229C"/>
    <w:rsid w:val="00B73040"/>
    <w:rsid w:val="00B74621"/>
    <w:rsid w:val="00B8330B"/>
    <w:rsid w:val="00B84219"/>
    <w:rsid w:val="00B84C8A"/>
    <w:rsid w:val="00B86548"/>
    <w:rsid w:val="00B87E6A"/>
    <w:rsid w:val="00B90801"/>
    <w:rsid w:val="00B966AA"/>
    <w:rsid w:val="00B97216"/>
    <w:rsid w:val="00B977AB"/>
    <w:rsid w:val="00BA55B8"/>
    <w:rsid w:val="00BB1747"/>
    <w:rsid w:val="00BB47DA"/>
    <w:rsid w:val="00BB5429"/>
    <w:rsid w:val="00BB67DB"/>
    <w:rsid w:val="00BB7ABF"/>
    <w:rsid w:val="00BD0FE8"/>
    <w:rsid w:val="00BD236F"/>
    <w:rsid w:val="00BD706D"/>
    <w:rsid w:val="00BD7AFA"/>
    <w:rsid w:val="00BE19C1"/>
    <w:rsid w:val="00BE2308"/>
    <w:rsid w:val="00BF0553"/>
    <w:rsid w:val="00BF3A96"/>
    <w:rsid w:val="00BF751F"/>
    <w:rsid w:val="00C057FB"/>
    <w:rsid w:val="00C0768A"/>
    <w:rsid w:val="00C07DD1"/>
    <w:rsid w:val="00C105ED"/>
    <w:rsid w:val="00C10E00"/>
    <w:rsid w:val="00C10F11"/>
    <w:rsid w:val="00C114DC"/>
    <w:rsid w:val="00C11959"/>
    <w:rsid w:val="00C121B5"/>
    <w:rsid w:val="00C203EF"/>
    <w:rsid w:val="00C36EB6"/>
    <w:rsid w:val="00C3748D"/>
    <w:rsid w:val="00C37ADF"/>
    <w:rsid w:val="00C40874"/>
    <w:rsid w:val="00C4308B"/>
    <w:rsid w:val="00C50824"/>
    <w:rsid w:val="00C50EC2"/>
    <w:rsid w:val="00C520F0"/>
    <w:rsid w:val="00C527A3"/>
    <w:rsid w:val="00C531C5"/>
    <w:rsid w:val="00C61E84"/>
    <w:rsid w:val="00C644CE"/>
    <w:rsid w:val="00C66AC9"/>
    <w:rsid w:val="00C67DBA"/>
    <w:rsid w:val="00C74C3D"/>
    <w:rsid w:val="00C76C2B"/>
    <w:rsid w:val="00C7726C"/>
    <w:rsid w:val="00C8673F"/>
    <w:rsid w:val="00CA2609"/>
    <w:rsid w:val="00CA3863"/>
    <w:rsid w:val="00CB09CA"/>
    <w:rsid w:val="00CB09F9"/>
    <w:rsid w:val="00CB3636"/>
    <w:rsid w:val="00CB4022"/>
    <w:rsid w:val="00CB63F2"/>
    <w:rsid w:val="00CC11A8"/>
    <w:rsid w:val="00CC3D4E"/>
    <w:rsid w:val="00CC5F8B"/>
    <w:rsid w:val="00CD0F70"/>
    <w:rsid w:val="00CF573F"/>
    <w:rsid w:val="00D01FF2"/>
    <w:rsid w:val="00D03F97"/>
    <w:rsid w:val="00D06FC7"/>
    <w:rsid w:val="00D149B2"/>
    <w:rsid w:val="00D158B7"/>
    <w:rsid w:val="00D178CB"/>
    <w:rsid w:val="00D270BE"/>
    <w:rsid w:val="00D33EF4"/>
    <w:rsid w:val="00D35F48"/>
    <w:rsid w:val="00D4040F"/>
    <w:rsid w:val="00D55AA9"/>
    <w:rsid w:val="00D606AA"/>
    <w:rsid w:val="00D60C89"/>
    <w:rsid w:val="00D60F81"/>
    <w:rsid w:val="00D634A8"/>
    <w:rsid w:val="00D6392A"/>
    <w:rsid w:val="00D66880"/>
    <w:rsid w:val="00D710A4"/>
    <w:rsid w:val="00D75655"/>
    <w:rsid w:val="00D76B00"/>
    <w:rsid w:val="00D83904"/>
    <w:rsid w:val="00D850C0"/>
    <w:rsid w:val="00D850E8"/>
    <w:rsid w:val="00D85608"/>
    <w:rsid w:val="00D93979"/>
    <w:rsid w:val="00D97212"/>
    <w:rsid w:val="00DA30A8"/>
    <w:rsid w:val="00DA6C7F"/>
    <w:rsid w:val="00DB1F54"/>
    <w:rsid w:val="00DB3E50"/>
    <w:rsid w:val="00DB55D6"/>
    <w:rsid w:val="00DB5D3F"/>
    <w:rsid w:val="00DC0F06"/>
    <w:rsid w:val="00DC14B2"/>
    <w:rsid w:val="00DC4248"/>
    <w:rsid w:val="00DD4C99"/>
    <w:rsid w:val="00DD76D7"/>
    <w:rsid w:val="00DE5B23"/>
    <w:rsid w:val="00DF06C1"/>
    <w:rsid w:val="00DF1A60"/>
    <w:rsid w:val="00DF3AC1"/>
    <w:rsid w:val="00DF408C"/>
    <w:rsid w:val="00DF40A6"/>
    <w:rsid w:val="00DF55FC"/>
    <w:rsid w:val="00E00D12"/>
    <w:rsid w:val="00E01CB0"/>
    <w:rsid w:val="00E062E7"/>
    <w:rsid w:val="00E1245D"/>
    <w:rsid w:val="00E13E5E"/>
    <w:rsid w:val="00E14930"/>
    <w:rsid w:val="00E17C78"/>
    <w:rsid w:val="00E20690"/>
    <w:rsid w:val="00E30CCC"/>
    <w:rsid w:val="00E32632"/>
    <w:rsid w:val="00E44032"/>
    <w:rsid w:val="00E44A8A"/>
    <w:rsid w:val="00E47559"/>
    <w:rsid w:val="00E50836"/>
    <w:rsid w:val="00E5150E"/>
    <w:rsid w:val="00E522A5"/>
    <w:rsid w:val="00E579FA"/>
    <w:rsid w:val="00E61BF5"/>
    <w:rsid w:val="00E61E16"/>
    <w:rsid w:val="00E67A39"/>
    <w:rsid w:val="00E67B58"/>
    <w:rsid w:val="00E75FE0"/>
    <w:rsid w:val="00E80A71"/>
    <w:rsid w:val="00E8232C"/>
    <w:rsid w:val="00E82F23"/>
    <w:rsid w:val="00E84899"/>
    <w:rsid w:val="00E857A4"/>
    <w:rsid w:val="00E86365"/>
    <w:rsid w:val="00E86DE2"/>
    <w:rsid w:val="00E9232D"/>
    <w:rsid w:val="00E95FC0"/>
    <w:rsid w:val="00EA0729"/>
    <w:rsid w:val="00EA1B6E"/>
    <w:rsid w:val="00EA64E5"/>
    <w:rsid w:val="00EB0801"/>
    <w:rsid w:val="00EB2906"/>
    <w:rsid w:val="00EB6FDB"/>
    <w:rsid w:val="00EC4913"/>
    <w:rsid w:val="00EC6DD6"/>
    <w:rsid w:val="00EC726A"/>
    <w:rsid w:val="00EC7BD5"/>
    <w:rsid w:val="00ED0331"/>
    <w:rsid w:val="00ED3D0D"/>
    <w:rsid w:val="00ED73E3"/>
    <w:rsid w:val="00EF1978"/>
    <w:rsid w:val="00EF3597"/>
    <w:rsid w:val="00EF7007"/>
    <w:rsid w:val="00F0274F"/>
    <w:rsid w:val="00F02EFB"/>
    <w:rsid w:val="00F05111"/>
    <w:rsid w:val="00F07580"/>
    <w:rsid w:val="00F11A85"/>
    <w:rsid w:val="00F14448"/>
    <w:rsid w:val="00F14618"/>
    <w:rsid w:val="00F22CBF"/>
    <w:rsid w:val="00F247D6"/>
    <w:rsid w:val="00F2717E"/>
    <w:rsid w:val="00F30239"/>
    <w:rsid w:val="00F4008C"/>
    <w:rsid w:val="00F4536A"/>
    <w:rsid w:val="00F50F28"/>
    <w:rsid w:val="00F52121"/>
    <w:rsid w:val="00F70797"/>
    <w:rsid w:val="00F72957"/>
    <w:rsid w:val="00F82317"/>
    <w:rsid w:val="00F84732"/>
    <w:rsid w:val="00F929F3"/>
    <w:rsid w:val="00F92C61"/>
    <w:rsid w:val="00F93C62"/>
    <w:rsid w:val="00F94EBB"/>
    <w:rsid w:val="00F96B4C"/>
    <w:rsid w:val="00FA4B89"/>
    <w:rsid w:val="00FA72A4"/>
    <w:rsid w:val="00FB3066"/>
    <w:rsid w:val="00FB40D7"/>
    <w:rsid w:val="00FC09C3"/>
    <w:rsid w:val="00FC6F5E"/>
    <w:rsid w:val="00FD150B"/>
    <w:rsid w:val="00FD29DB"/>
    <w:rsid w:val="00FE029B"/>
    <w:rsid w:val="00FE1D10"/>
    <w:rsid w:val="00FE2DCB"/>
    <w:rsid w:val="00FE5030"/>
    <w:rsid w:val="00FF0EE3"/>
    <w:rsid w:val="00FF739F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54D322"/>
  <w15:chartTrackingRefBased/>
  <w15:docId w15:val="{3A440CAE-BC18-41B7-9D4C-EF056C9C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8A0"/>
  </w:style>
  <w:style w:type="paragraph" w:styleId="Footer">
    <w:name w:val="footer"/>
    <w:basedOn w:val="Normal"/>
    <w:link w:val="FooterChar"/>
    <w:uiPriority w:val="99"/>
    <w:unhideWhenUsed/>
    <w:rsid w:val="00194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8A0"/>
  </w:style>
  <w:style w:type="table" w:styleId="TableGrid">
    <w:name w:val="Table Grid"/>
    <w:basedOn w:val="TableNormal"/>
    <w:uiPriority w:val="39"/>
    <w:rsid w:val="0019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17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21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0213F"/>
    <w:rPr>
      <w:rFonts w:eastAsiaTheme="minorEastAsia"/>
      <w:color w:val="5A5A5A" w:themeColor="text1" w:themeTint="A5"/>
      <w:spacing w:val="1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9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9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Taylor</dc:creator>
  <cp:keywords/>
  <dc:description/>
  <cp:lastModifiedBy>Tony Mears</cp:lastModifiedBy>
  <cp:revision>22</cp:revision>
  <cp:lastPrinted>2019-12-05T18:06:00Z</cp:lastPrinted>
  <dcterms:created xsi:type="dcterms:W3CDTF">2019-11-19T07:44:00Z</dcterms:created>
  <dcterms:modified xsi:type="dcterms:W3CDTF">2019-12-05T18:08:00Z</dcterms:modified>
</cp:coreProperties>
</file>